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ayout w:type="fixed"/>
        <w:tblLook w:val="01E0" w:firstRow="1" w:lastRow="1" w:firstColumn="1" w:lastColumn="1" w:noHBand="0" w:noVBand="0"/>
      </w:tblPr>
      <w:tblGrid>
        <w:gridCol w:w="3652"/>
        <w:gridCol w:w="6980"/>
      </w:tblGrid>
      <w:tr w:rsidR="00E710AA" w:rsidRPr="00CE3723" w14:paraId="58CD5F83" w14:textId="77777777" w:rsidTr="00C700D4">
        <w:tc>
          <w:tcPr>
            <w:tcW w:w="3652" w:type="dxa"/>
          </w:tcPr>
          <w:p w14:paraId="7742B003" w14:textId="77777777" w:rsidR="00E710AA" w:rsidRPr="000F11EA" w:rsidRDefault="00E710AA" w:rsidP="00C700D4">
            <w:pPr>
              <w:spacing w:after="0" w:line="288" w:lineRule="auto"/>
              <w:jc w:val="center"/>
              <w:rPr>
                <w:rFonts w:ascii="Times New Roman" w:hAnsi="Times New Roman" w:cs="Times New Roman"/>
                <w:sz w:val="24"/>
                <w:szCs w:val="24"/>
              </w:rPr>
            </w:pPr>
            <w:r w:rsidRPr="000F11EA">
              <w:rPr>
                <w:rFonts w:ascii="Times New Roman" w:hAnsi="Times New Roman" w:cs="Times New Roman"/>
                <w:sz w:val="24"/>
                <w:szCs w:val="24"/>
              </w:rPr>
              <w:t xml:space="preserve">SỞ </w:t>
            </w:r>
            <w:r>
              <w:rPr>
                <w:rFonts w:ascii="Times New Roman" w:hAnsi="Times New Roman" w:cs="Times New Roman"/>
                <w:sz w:val="24"/>
                <w:szCs w:val="24"/>
              </w:rPr>
              <w:t>GD&amp;ĐT</w:t>
            </w:r>
            <w:r w:rsidRPr="000F11EA">
              <w:rPr>
                <w:rFonts w:ascii="Times New Roman" w:hAnsi="Times New Roman" w:cs="Times New Roman"/>
                <w:sz w:val="24"/>
                <w:szCs w:val="24"/>
              </w:rPr>
              <w:t xml:space="preserve"> THANH HÓA</w:t>
            </w:r>
          </w:p>
          <w:p w14:paraId="54674A7D" w14:textId="77777777" w:rsidR="00E710AA" w:rsidRPr="000F11EA" w:rsidRDefault="00E710AA" w:rsidP="00C700D4">
            <w:pPr>
              <w:spacing w:after="0" w:line="288" w:lineRule="auto"/>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06F2092" wp14:editId="42412A2D">
                      <wp:simplePos x="0" y="0"/>
                      <wp:positionH relativeFrom="column">
                        <wp:posOffset>278130</wp:posOffset>
                      </wp:positionH>
                      <wp:positionV relativeFrom="paragraph">
                        <wp:posOffset>186055</wp:posOffset>
                      </wp:positionV>
                      <wp:extent cx="1600200" cy="0"/>
                      <wp:effectExtent l="9525" t="12700" r="9525" b="6350"/>
                      <wp:wrapNone/>
                      <wp:docPr id="916736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D7F6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ascii="Times New Roman" w:hAnsi="Times New Roman" w:cs="Times New Roman"/>
                <w:b/>
                <w:sz w:val="24"/>
                <w:szCs w:val="24"/>
              </w:rPr>
              <w:t>TRƯỜNG THPT TRIỆU SƠN 3</w:t>
            </w:r>
          </w:p>
          <w:p w14:paraId="19A190BA" w14:textId="77777777" w:rsidR="00E710AA" w:rsidRPr="00DE3650" w:rsidRDefault="00E710AA" w:rsidP="00C700D4">
            <w:pPr>
              <w:spacing w:after="0" w:line="288" w:lineRule="auto"/>
              <w:jc w:val="center"/>
              <w:rPr>
                <w:rFonts w:ascii="Times New Roman" w:hAnsi="Times New Roman" w:cs="Times New Roman"/>
                <w:sz w:val="16"/>
                <w:szCs w:val="24"/>
              </w:rPr>
            </w:pPr>
          </w:p>
          <w:p w14:paraId="6639F7F3" w14:textId="77777777" w:rsidR="00E710AA" w:rsidRPr="00356476" w:rsidRDefault="00E710AA" w:rsidP="00C700D4">
            <w:pPr>
              <w:spacing w:after="0" w:line="288" w:lineRule="auto"/>
              <w:jc w:val="center"/>
              <w:rPr>
                <w:rFonts w:ascii="Times New Roman" w:hAnsi="Times New Roman" w:cs="Times New Roman"/>
                <w:b/>
                <w:sz w:val="24"/>
                <w:szCs w:val="24"/>
              </w:rPr>
            </w:pPr>
            <w:r w:rsidRPr="00356476">
              <w:rPr>
                <w:rFonts w:ascii="Times New Roman" w:hAnsi="Times New Roman" w:cs="Times New Roman"/>
                <w:b/>
                <w:sz w:val="24"/>
                <w:szCs w:val="24"/>
              </w:rPr>
              <w:t>(</w:t>
            </w:r>
            <w:r>
              <w:rPr>
                <w:rFonts w:ascii="Times New Roman" w:hAnsi="Times New Roman" w:cs="Times New Roman"/>
                <w:b/>
                <w:sz w:val="24"/>
                <w:szCs w:val="24"/>
              </w:rPr>
              <w:t>ĐÁP ÁN CHÍNH THỨC</w:t>
            </w:r>
            <w:r w:rsidRPr="00356476">
              <w:rPr>
                <w:rFonts w:ascii="Times New Roman" w:hAnsi="Times New Roman" w:cs="Times New Roman"/>
                <w:b/>
                <w:sz w:val="24"/>
                <w:szCs w:val="24"/>
              </w:rPr>
              <w:t>)</w:t>
            </w:r>
          </w:p>
          <w:p w14:paraId="58EA10F3" w14:textId="77777777" w:rsidR="00E710AA" w:rsidRPr="00DE3650" w:rsidRDefault="00E710AA" w:rsidP="00C700D4">
            <w:pPr>
              <w:spacing w:after="0" w:line="288" w:lineRule="auto"/>
              <w:jc w:val="center"/>
              <w:rPr>
                <w:rFonts w:ascii="Times New Roman" w:hAnsi="Times New Roman" w:cs="Times New Roman"/>
                <w:sz w:val="4"/>
                <w:szCs w:val="24"/>
              </w:rPr>
            </w:pPr>
          </w:p>
          <w:p w14:paraId="269914CB" w14:textId="77777777" w:rsidR="00E710AA" w:rsidRPr="007D7665" w:rsidRDefault="00E710AA" w:rsidP="00C700D4">
            <w:pPr>
              <w:spacing w:after="0" w:line="288" w:lineRule="auto"/>
              <w:jc w:val="center"/>
              <w:rPr>
                <w:rFonts w:ascii="Times New Roman" w:hAnsi="Times New Roman" w:cs="Times New Roman"/>
                <w:b/>
                <w:sz w:val="24"/>
                <w:szCs w:val="24"/>
              </w:rPr>
            </w:pPr>
          </w:p>
        </w:tc>
        <w:tc>
          <w:tcPr>
            <w:tcW w:w="6980" w:type="dxa"/>
          </w:tcPr>
          <w:p w14:paraId="59BF7368" w14:textId="77777777" w:rsidR="00E710AA" w:rsidRDefault="00E710AA" w:rsidP="00C700D4">
            <w:pP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KHẢO SÁT CHẤT LƯỢNG HỌC SINH</w:t>
            </w:r>
            <w:r w:rsidRPr="000F11EA">
              <w:rPr>
                <w:rFonts w:ascii="Times New Roman" w:hAnsi="Times New Roman" w:cs="Times New Roman"/>
                <w:b/>
                <w:sz w:val="24"/>
                <w:szCs w:val="24"/>
              </w:rPr>
              <w:t xml:space="preserve"> </w:t>
            </w:r>
          </w:p>
          <w:p w14:paraId="20BB3772" w14:textId="77777777" w:rsidR="00E710AA" w:rsidRPr="00E710AA" w:rsidRDefault="00E710AA" w:rsidP="00C700D4">
            <w:pPr>
              <w:spacing w:after="0" w:line="288" w:lineRule="auto"/>
              <w:jc w:val="center"/>
              <w:rPr>
                <w:rFonts w:ascii="Times New Roman" w:hAnsi="Times New Roman" w:cs="Times New Roman"/>
                <w:b/>
                <w:bCs/>
                <w:sz w:val="24"/>
                <w:szCs w:val="24"/>
              </w:rPr>
            </w:pPr>
            <w:r w:rsidRPr="00E710AA">
              <w:rPr>
                <w:rFonts w:ascii="Times New Roman" w:hAnsi="Times New Roman" w:cs="Times New Roman"/>
                <w:b/>
                <w:sz w:val="24"/>
                <w:szCs w:val="24"/>
              </w:rPr>
              <w:t xml:space="preserve">LẦN 1 NĂM HỌC 2025 – 2026 </w:t>
            </w:r>
          </w:p>
          <w:p w14:paraId="494AE203" w14:textId="77777777" w:rsidR="00E710AA" w:rsidRPr="00E710AA" w:rsidRDefault="00E710AA" w:rsidP="00C700D4">
            <w:pPr>
              <w:spacing w:after="0" w:line="288" w:lineRule="auto"/>
              <w:jc w:val="center"/>
              <w:rPr>
                <w:rFonts w:ascii="Times New Roman" w:hAnsi="Times New Roman" w:cs="Times New Roman"/>
                <w:b/>
                <w:bCs/>
                <w:sz w:val="24"/>
                <w:szCs w:val="24"/>
              </w:rPr>
            </w:pPr>
            <w:r w:rsidRPr="00E710AA">
              <w:rPr>
                <w:rFonts w:ascii="Times New Roman" w:hAnsi="Times New Roman" w:cs="Times New Roman"/>
                <w:b/>
                <w:bCs/>
                <w:sz w:val="24"/>
                <w:szCs w:val="24"/>
              </w:rPr>
              <w:t>MÔN: TIẾNG ANH 12</w:t>
            </w:r>
          </w:p>
        </w:tc>
      </w:tr>
    </w:tbl>
    <w:p w14:paraId="59D5F6EF" w14:textId="55B84962" w:rsidR="00E710AA" w:rsidRPr="0031185E" w:rsidRDefault="00E710AA" w:rsidP="00E710AA">
      <w:pPr>
        <w:tabs>
          <w:tab w:val="left" w:pos="720"/>
          <w:tab w:val="left" w:pos="1644"/>
        </w:tabs>
        <w:spacing w:after="0" w:line="312" w:lineRule="auto"/>
        <w:jc w:val="center"/>
        <w:rPr>
          <w:rFonts w:ascii="Times New Roman" w:hAnsi="Times New Roman" w:cs="Times New Roman"/>
          <w:b/>
          <w:sz w:val="26"/>
          <w:szCs w:val="24"/>
        </w:rPr>
      </w:pPr>
      <w:r w:rsidRPr="0031185E">
        <w:rPr>
          <w:rFonts w:ascii="Times New Roman" w:hAnsi="Times New Roman" w:cs="Times New Roman"/>
          <w:b/>
          <w:sz w:val="26"/>
          <w:szCs w:val="24"/>
        </w:rPr>
        <w:t>PHẦN I: ĐÁP ÁN CHUNG ĐỂ CHẤM</w:t>
      </w:r>
      <w:r>
        <w:rPr>
          <w:rFonts w:ascii="Times New Roman" w:hAnsi="Times New Roman" w:cs="Times New Roman"/>
          <w:b/>
          <w:sz w:val="26"/>
          <w:szCs w:val="24"/>
        </w:rPr>
        <w:t xml:space="preserve"> – MÃ ĐỀ 1211</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851"/>
        <w:gridCol w:w="851"/>
        <w:gridCol w:w="851"/>
        <w:gridCol w:w="851"/>
        <w:gridCol w:w="851"/>
        <w:gridCol w:w="851"/>
        <w:gridCol w:w="851"/>
        <w:gridCol w:w="851"/>
      </w:tblGrid>
      <w:tr w:rsidR="00E710AA" w:rsidRPr="00CE3723" w14:paraId="22CF1E89" w14:textId="1117D06B" w:rsidTr="00E710AA">
        <w:trPr>
          <w:trHeight w:val="310"/>
          <w:jc w:val="center"/>
        </w:trPr>
        <w:tc>
          <w:tcPr>
            <w:tcW w:w="704" w:type="dxa"/>
            <w:noWrap/>
            <w:vAlign w:val="center"/>
            <w:hideMark/>
          </w:tcPr>
          <w:p w14:paraId="4699FE4A" w14:textId="77777777"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Câu</w:t>
            </w:r>
          </w:p>
        </w:tc>
        <w:tc>
          <w:tcPr>
            <w:tcW w:w="851" w:type="dxa"/>
            <w:noWrap/>
            <w:vAlign w:val="center"/>
            <w:hideMark/>
          </w:tcPr>
          <w:p w14:paraId="1CBD3CB8" w14:textId="77777777"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Đáp án</w:t>
            </w:r>
          </w:p>
        </w:tc>
        <w:tc>
          <w:tcPr>
            <w:tcW w:w="851" w:type="dxa"/>
            <w:vAlign w:val="center"/>
          </w:tcPr>
          <w:p w14:paraId="7B2581C0" w14:textId="4B7965E7"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Câu</w:t>
            </w:r>
          </w:p>
        </w:tc>
        <w:tc>
          <w:tcPr>
            <w:tcW w:w="851" w:type="dxa"/>
            <w:vAlign w:val="center"/>
          </w:tcPr>
          <w:p w14:paraId="68EF9D7B" w14:textId="0B47302E"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Đáp án</w:t>
            </w:r>
          </w:p>
        </w:tc>
        <w:tc>
          <w:tcPr>
            <w:tcW w:w="851" w:type="dxa"/>
            <w:vAlign w:val="center"/>
          </w:tcPr>
          <w:p w14:paraId="00D4FDE9" w14:textId="34C46E39"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Câu</w:t>
            </w:r>
          </w:p>
        </w:tc>
        <w:tc>
          <w:tcPr>
            <w:tcW w:w="851" w:type="dxa"/>
            <w:vAlign w:val="center"/>
          </w:tcPr>
          <w:p w14:paraId="061D8002" w14:textId="6EC54718"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Đáp án</w:t>
            </w:r>
          </w:p>
        </w:tc>
        <w:tc>
          <w:tcPr>
            <w:tcW w:w="851" w:type="dxa"/>
            <w:vAlign w:val="center"/>
          </w:tcPr>
          <w:p w14:paraId="61C6D629" w14:textId="00C4FF9C"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Câu</w:t>
            </w:r>
          </w:p>
        </w:tc>
        <w:tc>
          <w:tcPr>
            <w:tcW w:w="851" w:type="dxa"/>
            <w:vAlign w:val="center"/>
          </w:tcPr>
          <w:p w14:paraId="2412D012" w14:textId="208EB893"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Đáp án</w:t>
            </w:r>
          </w:p>
        </w:tc>
        <w:tc>
          <w:tcPr>
            <w:tcW w:w="851" w:type="dxa"/>
            <w:vAlign w:val="center"/>
          </w:tcPr>
          <w:p w14:paraId="59A34095" w14:textId="58A142EB"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Câu</w:t>
            </w:r>
          </w:p>
        </w:tc>
        <w:tc>
          <w:tcPr>
            <w:tcW w:w="851" w:type="dxa"/>
            <w:vAlign w:val="center"/>
          </w:tcPr>
          <w:p w14:paraId="66F1784E" w14:textId="3D911181" w:rsidR="00E710AA" w:rsidRPr="00CE3723" w:rsidRDefault="00E710AA" w:rsidP="00E710AA">
            <w:pPr>
              <w:spacing w:after="0" w:line="240" w:lineRule="auto"/>
              <w:jc w:val="center"/>
              <w:rPr>
                <w:rFonts w:ascii="Times New Roman" w:eastAsia="Times New Roman" w:hAnsi="Times New Roman" w:cs="Times New Roman"/>
                <w:b/>
                <w:bCs/>
                <w:color w:val="000000"/>
                <w:sz w:val="24"/>
                <w:szCs w:val="24"/>
              </w:rPr>
            </w:pPr>
            <w:r w:rsidRPr="00CE3723">
              <w:rPr>
                <w:rFonts w:ascii="Times New Roman" w:eastAsia="Times New Roman" w:hAnsi="Times New Roman" w:cs="Times New Roman"/>
                <w:b/>
                <w:bCs/>
                <w:color w:val="000000"/>
                <w:sz w:val="24"/>
                <w:szCs w:val="24"/>
              </w:rPr>
              <w:t>Đáp án</w:t>
            </w:r>
          </w:p>
        </w:tc>
      </w:tr>
      <w:tr w:rsidR="00E710AA" w:rsidRPr="00CE3723" w14:paraId="55B5B840" w14:textId="71D6A731" w:rsidTr="00E710AA">
        <w:trPr>
          <w:trHeight w:val="310"/>
          <w:jc w:val="center"/>
        </w:trPr>
        <w:tc>
          <w:tcPr>
            <w:tcW w:w="704" w:type="dxa"/>
            <w:noWrap/>
            <w:vAlign w:val="center"/>
            <w:hideMark/>
          </w:tcPr>
          <w:p w14:paraId="7ED33061"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w:t>
            </w:r>
          </w:p>
        </w:tc>
        <w:tc>
          <w:tcPr>
            <w:tcW w:w="851" w:type="dxa"/>
            <w:noWrap/>
            <w:vAlign w:val="center"/>
            <w:hideMark/>
          </w:tcPr>
          <w:p w14:paraId="06F3E570"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1C66BD59" w14:textId="7E3B120D"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9</w:t>
            </w:r>
          </w:p>
        </w:tc>
        <w:tc>
          <w:tcPr>
            <w:tcW w:w="851" w:type="dxa"/>
            <w:vAlign w:val="center"/>
          </w:tcPr>
          <w:p w14:paraId="2C7ACDEF" w14:textId="3B3080D2"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6C8A5E78" w14:textId="0E095FB2"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17</w:t>
            </w:r>
          </w:p>
        </w:tc>
        <w:tc>
          <w:tcPr>
            <w:tcW w:w="851" w:type="dxa"/>
            <w:vAlign w:val="center"/>
          </w:tcPr>
          <w:p w14:paraId="13570FE4" w14:textId="18A8D62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1D584B37" w14:textId="3C430966"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25</w:t>
            </w:r>
          </w:p>
        </w:tc>
        <w:tc>
          <w:tcPr>
            <w:tcW w:w="851" w:type="dxa"/>
            <w:vAlign w:val="center"/>
          </w:tcPr>
          <w:p w14:paraId="5F4A30E7" w14:textId="72CC7514"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52D8F79D" w14:textId="6262A626"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33</w:t>
            </w:r>
          </w:p>
        </w:tc>
        <w:tc>
          <w:tcPr>
            <w:tcW w:w="851" w:type="dxa"/>
            <w:vAlign w:val="center"/>
          </w:tcPr>
          <w:p w14:paraId="68A022C4" w14:textId="7D8CDDB0"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r>
      <w:tr w:rsidR="00E710AA" w:rsidRPr="00CE3723" w14:paraId="0BBECB6F" w14:textId="202199A2" w:rsidTr="00E710AA">
        <w:trPr>
          <w:trHeight w:val="310"/>
          <w:jc w:val="center"/>
        </w:trPr>
        <w:tc>
          <w:tcPr>
            <w:tcW w:w="704" w:type="dxa"/>
            <w:noWrap/>
            <w:vAlign w:val="center"/>
            <w:hideMark/>
          </w:tcPr>
          <w:p w14:paraId="376A62CA"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w:t>
            </w:r>
          </w:p>
        </w:tc>
        <w:tc>
          <w:tcPr>
            <w:tcW w:w="851" w:type="dxa"/>
            <w:noWrap/>
            <w:vAlign w:val="center"/>
            <w:hideMark/>
          </w:tcPr>
          <w:p w14:paraId="075CBCAC"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c>
          <w:tcPr>
            <w:tcW w:w="851" w:type="dxa"/>
            <w:vAlign w:val="center"/>
          </w:tcPr>
          <w:p w14:paraId="5744FE24" w14:textId="1D45B694"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10</w:t>
            </w:r>
          </w:p>
        </w:tc>
        <w:tc>
          <w:tcPr>
            <w:tcW w:w="851" w:type="dxa"/>
            <w:vAlign w:val="center"/>
          </w:tcPr>
          <w:p w14:paraId="0CD688AB" w14:textId="167A16E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0866E90F" w14:textId="1167B04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18</w:t>
            </w:r>
          </w:p>
        </w:tc>
        <w:tc>
          <w:tcPr>
            <w:tcW w:w="851" w:type="dxa"/>
            <w:vAlign w:val="center"/>
          </w:tcPr>
          <w:p w14:paraId="6F079839" w14:textId="51E176AB"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2E49FD95" w14:textId="6943286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26</w:t>
            </w:r>
          </w:p>
        </w:tc>
        <w:tc>
          <w:tcPr>
            <w:tcW w:w="851" w:type="dxa"/>
            <w:vAlign w:val="center"/>
          </w:tcPr>
          <w:p w14:paraId="67920E80" w14:textId="5070EFF2"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440F9685" w14:textId="30F0CF5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34</w:t>
            </w:r>
          </w:p>
        </w:tc>
        <w:tc>
          <w:tcPr>
            <w:tcW w:w="851" w:type="dxa"/>
            <w:vAlign w:val="center"/>
          </w:tcPr>
          <w:p w14:paraId="250E4EC6" w14:textId="214EBBB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r>
      <w:tr w:rsidR="00E710AA" w:rsidRPr="00CE3723" w14:paraId="3E142835" w14:textId="6483E1B3" w:rsidTr="00E710AA">
        <w:trPr>
          <w:trHeight w:val="310"/>
          <w:jc w:val="center"/>
        </w:trPr>
        <w:tc>
          <w:tcPr>
            <w:tcW w:w="704" w:type="dxa"/>
            <w:noWrap/>
            <w:vAlign w:val="center"/>
            <w:hideMark/>
          </w:tcPr>
          <w:p w14:paraId="318F1699"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w:t>
            </w:r>
          </w:p>
        </w:tc>
        <w:tc>
          <w:tcPr>
            <w:tcW w:w="851" w:type="dxa"/>
            <w:noWrap/>
            <w:vAlign w:val="center"/>
            <w:hideMark/>
          </w:tcPr>
          <w:p w14:paraId="5962CB0A"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513B7001" w14:textId="14E97AE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11</w:t>
            </w:r>
          </w:p>
        </w:tc>
        <w:tc>
          <w:tcPr>
            <w:tcW w:w="851" w:type="dxa"/>
            <w:vAlign w:val="center"/>
          </w:tcPr>
          <w:p w14:paraId="7044A7E2" w14:textId="5C1D5FE9"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76D7E371" w14:textId="72B71DB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19</w:t>
            </w:r>
          </w:p>
        </w:tc>
        <w:tc>
          <w:tcPr>
            <w:tcW w:w="851" w:type="dxa"/>
            <w:vAlign w:val="center"/>
          </w:tcPr>
          <w:p w14:paraId="533D5372" w14:textId="75FD0059"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c>
          <w:tcPr>
            <w:tcW w:w="851" w:type="dxa"/>
            <w:vAlign w:val="center"/>
          </w:tcPr>
          <w:p w14:paraId="23D7C679" w14:textId="366FF503"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27</w:t>
            </w:r>
          </w:p>
        </w:tc>
        <w:tc>
          <w:tcPr>
            <w:tcW w:w="851" w:type="dxa"/>
            <w:vAlign w:val="center"/>
          </w:tcPr>
          <w:p w14:paraId="27E5D02C" w14:textId="0017437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32766CCA" w14:textId="0052B3EB"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35</w:t>
            </w:r>
          </w:p>
        </w:tc>
        <w:tc>
          <w:tcPr>
            <w:tcW w:w="851" w:type="dxa"/>
            <w:vAlign w:val="center"/>
          </w:tcPr>
          <w:p w14:paraId="04385648" w14:textId="7FCCF4D7"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r>
      <w:tr w:rsidR="00E710AA" w:rsidRPr="00CE3723" w14:paraId="4C05088B" w14:textId="74D9DE54" w:rsidTr="00E710AA">
        <w:trPr>
          <w:trHeight w:val="310"/>
          <w:jc w:val="center"/>
        </w:trPr>
        <w:tc>
          <w:tcPr>
            <w:tcW w:w="704" w:type="dxa"/>
            <w:noWrap/>
            <w:vAlign w:val="center"/>
            <w:hideMark/>
          </w:tcPr>
          <w:p w14:paraId="26575079"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4</w:t>
            </w:r>
          </w:p>
        </w:tc>
        <w:tc>
          <w:tcPr>
            <w:tcW w:w="851" w:type="dxa"/>
            <w:noWrap/>
            <w:vAlign w:val="center"/>
            <w:hideMark/>
          </w:tcPr>
          <w:p w14:paraId="7EB6F5EA"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7A561D14" w14:textId="155AE37F"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12</w:t>
            </w:r>
          </w:p>
        </w:tc>
        <w:tc>
          <w:tcPr>
            <w:tcW w:w="851" w:type="dxa"/>
            <w:vAlign w:val="center"/>
          </w:tcPr>
          <w:p w14:paraId="54A692CF" w14:textId="5AD63FE0"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4A8B86F6" w14:textId="6332781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20</w:t>
            </w:r>
          </w:p>
        </w:tc>
        <w:tc>
          <w:tcPr>
            <w:tcW w:w="851" w:type="dxa"/>
            <w:vAlign w:val="center"/>
          </w:tcPr>
          <w:p w14:paraId="65C57550" w14:textId="223712FB"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18B98A0D" w14:textId="7A8BC8C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28</w:t>
            </w:r>
          </w:p>
        </w:tc>
        <w:tc>
          <w:tcPr>
            <w:tcW w:w="851" w:type="dxa"/>
            <w:vAlign w:val="center"/>
          </w:tcPr>
          <w:p w14:paraId="20F1E285" w14:textId="5FA22DF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65333F43" w14:textId="2988017F"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36</w:t>
            </w:r>
          </w:p>
        </w:tc>
        <w:tc>
          <w:tcPr>
            <w:tcW w:w="851" w:type="dxa"/>
            <w:vAlign w:val="center"/>
          </w:tcPr>
          <w:p w14:paraId="7A0EEC31" w14:textId="61AE3BFA"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r>
      <w:tr w:rsidR="00E710AA" w:rsidRPr="00CE3723" w14:paraId="061B306F" w14:textId="743FD3AA" w:rsidTr="00E710AA">
        <w:trPr>
          <w:trHeight w:val="310"/>
          <w:jc w:val="center"/>
        </w:trPr>
        <w:tc>
          <w:tcPr>
            <w:tcW w:w="704" w:type="dxa"/>
            <w:noWrap/>
            <w:vAlign w:val="center"/>
            <w:hideMark/>
          </w:tcPr>
          <w:p w14:paraId="7825A41E"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5</w:t>
            </w:r>
          </w:p>
        </w:tc>
        <w:tc>
          <w:tcPr>
            <w:tcW w:w="851" w:type="dxa"/>
            <w:noWrap/>
            <w:vAlign w:val="center"/>
            <w:hideMark/>
          </w:tcPr>
          <w:p w14:paraId="57161B1E"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5E3269CA" w14:textId="66E5B42F"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13</w:t>
            </w:r>
          </w:p>
        </w:tc>
        <w:tc>
          <w:tcPr>
            <w:tcW w:w="851" w:type="dxa"/>
            <w:vAlign w:val="center"/>
          </w:tcPr>
          <w:p w14:paraId="4F11548E" w14:textId="153E5EC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c>
          <w:tcPr>
            <w:tcW w:w="851" w:type="dxa"/>
            <w:vAlign w:val="center"/>
          </w:tcPr>
          <w:p w14:paraId="6C69224D" w14:textId="2D4B5BB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21</w:t>
            </w:r>
          </w:p>
        </w:tc>
        <w:tc>
          <w:tcPr>
            <w:tcW w:w="851" w:type="dxa"/>
            <w:vAlign w:val="center"/>
          </w:tcPr>
          <w:p w14:paraId="1855C3F5" w14:textId="3F09F017"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71C8EAF6" w14:textId="21C6D5D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29</w:t>
            </w:r>
          </w:p>
        </w:tc>
        <w:tc>
          <w:tcPr>
            <w:tcW w:w="851" w:type="dxa"/>
            <w:vAlign w:val="center"/>
          </w:tcPr>
          <w:p w14:paraId="43EACCFD" w14:textId="64072B7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4FA80589" w14:textId="3E0D87E9"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37</w:t>
            </w:r>
          </w:p>
        </w:tc>
        <w:tc>
          <w:tcPr>
            <w:tcW w:w="851" w:type="dxa"/>
            <w:vAlign w:val="center"/>
          </w:tcPr>
          <w:p w14:paraId="7BE93E72" w14:textId="2823D016"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r>
      <w:tr w:rsidR="00E710AA" w:rsidRPr="00CE3723" w14:paraId="471C01D0" w14:textId="00F298B0" w:rsidTr="00E710AA">
        <w:trPr>
          <w:trHeight w:val="310"/>
          <w:jc w:val="center"/>
        </w:trPr>
        <w:tc>
          <w:tcPr>
            <w:tcW w:w="704" w:type="dxa"/>
            <w:noWrap/>
            <w:vAlign w:val="center"/>
            <w:hideMark/>
          </w:tcPr>
          <w:p w14:paraId="5C1DC054"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6</w:t>
            </w:r>
          </w:p>
        </w:tc>
        <w:tc>
          <w:tcPr>
            <w:tcW w:w="851" w:type="dxa"/>
            <w:noWrap/>
            <w:vAlign w:val="center"/>
            <w:hideMark/>
          </w:tcPr>
          <w:p w14:paraId="7C684495"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407756AD" w14:textId="1939A37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14</w:t>
            </w:r>
          </w:p>
        </w:tc>
        <w:tc>
          <w:tcPr>
            <w:tcW w:w="851" w:type="dxa"/>
            <w:vAlign w:val="center"/>
          </w:tcPr>
          <w:p w14:paraId="3D44F361" w14:textId="53419E5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428441F9" w14:textId="488D20DF"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22</w:t>
            </w:r>
          </w:p>
        </w:tc>
        <w:tc>
          <w:tcPr>
            <w:tcW w:w="851" w:type="dxa"/>
            <w:vAlign w:val="center"/>
          </w:tcPr>
          <w:p w14:paraId="66E3B469" w14:textId="6932E719"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15C43F96" w14:textId="2E8FB11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30</w:t>
            </w:r>
          </w:p>
        </w:tc>
        <w:tc>
          <w:tcPr>
            <w:tcW w:w="851" w:type="dxa"/>
            <w:vAlign w:val="center"/>
          </w:tcPr>
          <w:p w14:paraId="24C82DBF" w14:textId="598A45E7"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c>
          <w:tcPr>
            <w:tcW w:w="851" w:type="dxa"/>
            <w:vAlign w:val="center"/>
          </w:tcPr>
          <w:p w14:paraId="75D8505B" w14:textId="50925D6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38</w:t>
            </w:r>
          </w:p>
        </w:tc>
        <w:tc>
          <w:tcPr>
            <w:tcW w:w="851" w:type="dxa"/>
            <w:vAlign w:val="center"/>
          </w:tcPr>
          <w:p w14:paraId="068FAAA6" w14:textId="1A16DE24"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r>
      <w:tr w:rsidR="00E710AA" w:rsidRPr="00CE3723" w14:paraId="5B5B8B9E" w14:textId="7A54BFC0" w:rsidTr="00E710AA">
        <w:trPr>
          <w:trHeight w:val="310"/>
          <w:jc w:val="center"/>
        </w:trPr>
        <w:tc>
          <w:tcPr>
            <w:tcW w:w="704" w:type="dxa"/>
            <w:noWrap/>
            <w:vAlign w:val="center"/>
            <w:hideMark/>
          </w:tcPr>
          <w:p w14:paraId="187E61CE"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7</w:t>
            </w:r>
          </w:p>
        </w:tc>
        <w:tc>
          <w:tcPr>
            <w:tcW w:w="851" w:type="dxa"/>
            <w:noWrap/>
            <w:vAlign w:val="center"/>
            <w:hideMark/>
          </w:tcPr>
          <w:p w14:paraId="437ADC20"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5D6D9C25" w14:textId="5B1619C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15</w:t>
            </w:r>
          </w:p>
        </w:tc>
        <w:tc>
          <w:tcPr>
            <w:tcW w:w="851" w:type="dxa"/>
            <w:vAlign w:val="center"/>
          </w:tcPr>
          <w:p w14:paraId="510C2C8E" w14:textId="79E6D69A"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c>
          <w:tcPr>
            <w:tcW w:w="851" w:type="dxa"/>
            <w:vAlign w:val="center"/>
          </w:tcPr>
          <w:p w14:paraId="6EA596C1" w14:textId="3C0E17E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23</w:t>
            </w:r>
          </w:p>
        </w:tc>
        <w:tc>
          <w:tcPr>
            <w:tcW w:w="851" w:type="dxa"/>
            <w:vAlign w:val="center"/>
          </w:tcPr>
          <w:p w14:paraId="619569F0" w14:textId="03B781C3"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67452D1C" w14:textId="33C0A80E"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31</w:t>
            </w:r>
          </w:p>
        </w:tc>
        <w:tc>
          <w:tcPr>
            <w:tcW w:w="851" w:type="dxa"/>
            <w:vAlign w:val="center"/>
          </w:tcPr>
          <w:p w14:paraId="63E06CF4" w14:textId="00FBEBA5"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204D1D31" w14:textId="5A88A75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39</w:t>
            </w:r>
          </w:p>
        </w:tc>
        <w:tc>
          <w:tcPr>
            <w:tcW w:w="851" w:type="dxa"/>
            <w:vAlign w:val="center"/>
          </w:tcPr>
          <w:p w14:paraId="49659EC4" w14:textId="47894C50"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C</w:t>
            </w:r>
          </w:p>
        </w:tc>
      </w:tr>
      <w:tr w:rsidR="00E710AA" w:rsidRPr="00CE3723" w14:paraId="20709B1C" w14:textId="7941755F" w:rsidTr="00E710AA">
        <w:trPr>
          <w:trHeight w:val="310"/>
          <w:jc w:val="center"/>
        </w:trPr>
        <w:tc>
          <w:tcPr>
            <w:tcW w:w="704" w:type="dxa"/>
            <w:noWrap/>
            <w:vAlign w:val="center"/>
            <w:hideMark/>
          </w:tcPr>
          <w:p w14:paraId="62081DFD" w14:textId="77777777" w:rsidR="00E710AA" w:rsidRPr="00CE3723" w:rsidRDefault="00E710AA" w:rsidP="00E710AA">
            <w:pPr>
              <w:spacing w:after="0" w:line="240" w:lineRule="auto"/>
              <w:jc w:val="right"/>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8</w:t>
            </w:r>
          </w:p>
        </w:tc>
        <w:tc>
          <w:tcPr>
            <w:tcW w:w="851" w:type="dxa"/>
            <w:noWrap/>
            <w:vAlign w:val="center"/>
            <w:hideMark/>
          </w:tcPr>
          <w:p w14:paraId="6C735AD5" w14:textId="77777777" w:rsidR="00E710AA" w:rsidRPr="00CE3723" w:rsidRDefault="00E710AA" w:rsidP="00E710AA">
            <w:pPr>
              <w:spacing w:after="0" w:line="240" w:lineRule="auto"/>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1FD49CCC" w14:textId="3FF47080"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16</w:t>
            </w:r>
          </w:p>
        </w:tc>
        <w:tc>
          <w:tcPr>
            <w:tcW w:w="851" w:type="dxa"/>
            <w:vAlign w:val="center"/>
          </w:tcPr>
          <w:p w14:paraId="3A8FF69B" w14:textId="1F8CB053"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c>
          <w:tcPr>
            <w:tcW w:w="851" w:type="dxa"/>
            <w:vAlign w:val="center"/>
          </w:tcPr>
          <w:p w14:paraId="592B1D63" w14:textId="0B45FF33"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24</w:t>
            </w:r>
          </w:p>
        </w:tc>
        <w:tc>
          <w:tcPr>
            <w:tcW w:w="851" w:type="dxa"/>
            <w:vAlign w:val="center"/>
          </w:tcPr>
          <w:p w14:paraId="66133E32" w14:textId="175C04BF"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B</w:t>
            </w:r>
          </w:p>
        </w:tc>
        <w:tc>
          <w:tcPr>
            <w:tcW w:w="851" w:type="dxa"/>
            <w:vAlign w:val="center"/>
          </w:tcPr>
          <w:p w14:paraId="1BA42844" w14:textId="15ADB221"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32</w:t>
            </w:r>
          </w:p>
        </w:tc>
        <w:tc>
          <w:tcPr>
            <w:tcW w:w="851" w:type="dxa"/>
            <w:vAlign w:val="center"/>
          </w:tcPr>
          <w:p w14:paraId="03A96C55" w14:textId="439746C6"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D</w:t>
            </w:r>
          </w:p>
        </w:tc>
        <w:tc>
          <w:tcPr>
            <w:tcW w:w="851" w:type="dxa"/>
            <w:vAlign w:val="center"/>
          </w:tcPr>
          <w:p w14:paraId="5F40B552" w14:textId="4B7728AC"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40</w:t>
            </w:r>
          </w:p>
        </w:tc>
        <w:tc>
          <w:tcPr>
            <w:tcW w:w="851" w:type="dxa"/>
            <w:vAlign w:val="center"/>
          </w:tcPr>
          <w:p w14:paraId="5078F5B6" w14:textId="35603B5B" w:rsidR="00E710AA" w:rsidRPr="00CE3723" w:rsidRDefault="00E710AA" w:rsidP="00E710AA">
            <w:pPr>
              <w:spacing w:after="0" w:line="240" w:lineRule="auto"/>
              <w:jc w:val="both"/>
              <w:rPr>
                <w:rFonts w:ascii="Times New Roman" w:eastAsia="Times New Roman" w:hAnsi="Times New Roman" w:cs="Times New Roman"/>
                <w:color w:val="000000"/>
                <w:sz w:val="24"/>
                <w:szCs w:val="24"/>
              </w:rPr>
            </w:pPr>
            <w:r w:rsidRPr="00CE3723">
              <w:rPr>
                <w:rFonts w:ascii="Times New Roman" w:eastAsia="Times New Roman" w:hAnsi="Times New Roman" w:cs="Times New Roman"/>
                <w:color w:val="000000"/>
                <w:sz w:val="24"/>
                <w:szCs w:val="24"/>
              </w:rPr>
              <w:t>A</w:t>
            </w:r>
          </w:p>
        </w:tc>
      </w:tr>
    </w:tbl>
    <w:p w14:paraId="44E9A7C1" w14:textId="77777777" w:rsidR="00704268" w:rsidRDefault="00704268"/>
    <w:p w14:paraId="1EFA5F17" w14:textId="372A1F10" w:rsidR="00E710AA" w:rsidRPr="0082383A" w:rsidRDefault="0082383A" w:rsidP="0082383A">
      <w:pPr>
        <w:tabs>
          <w:tab w:val="left" w:pos="720"/>
          <w:tab w:val="left" w:pos="1644"/>
        </w:tabs>
        <w:spacing w:after="0" w:line="312" w:lineRule="auto"/>
        <w:jc w:val="center"/>
        <w:rPr>
          <w:rFonts w:ascii="Times New Roman" w:hAnsi="Times New Roman" w:cs="Times New Roman"/>
          <w:b/>
          <w:sz w:val="26"/>
          <w:szCs w:val="24"/>
        </w:rPr>
      </w:pPr>
      <w:r w:rsidRPr="0082383A">
        <w:rPr>
          <w:rFonts w:ascii="Times New Roman" w:hAnsi="Times New Roman" w:cs="Times New Roman"/>
          <w:b/>
          <w:sz w:val="26"/>
          <w:szCs w:val="24"/>
        </w:rPr>
        <w:t xml:space="preserve">PHẦN </w:t>
      </w:r>
      <w:r w:rsidRPr="0082383A">
        <w:rPr>
          <w:rFonts w:ascii="Times New Roman" w:hAnsi="Times New Roman" w:cs="Times New Roman"/>
          <w:b/>
          <w:sz w:val="26"/>
          <w:szCs w:val="24"/>
        </w:rPr>
        <w:t>I</w:t>
      </w:r>
      <w:r w:rsidRPr="0082383A">
        <w:rPr>
          <w:rFonts w:ascii="Times New Roman" w:hAnsi="Times New Roman" w:cs="Times New Roman"/>
          <w:b/>
          <w:sz w:val="26"/>
          <w:szCs w:val="24"/>
        </w:rPr>
        <w:t>I: ĐÁP ÁN CH</w:t>
      </w:r>
      <w:r w:rsidRPr="0082383A">
        <w:rPr>
          <w:rFonts w:ascii="Times New Roman" w:hAnsi="Times New Roman" w:cs="Times New Roman"/>
          <w:b/>
          <w:sz w:val="26"/>
          <w:szCs w:val="24"/>
        </w:rPr>
        <w:t>I TI</w:t>
      </w:r>
      <w:r>
        <w:rPr>
          <w:rFonts w:ascii="Times New Roman" w:hAnsi="Times New Roman" w:cs="Times New Roman"/>
          <w:b/>
          <w:sz w:val="26"/>
          <w:szCs w:val="24"/>
        </w:rPr>
        <w:t>ẾT – MÃ ĐỀ 1211</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643"/>
        <w:gridCol w:w="2010"/>
        <w:gridCol w:w="2014"/>
        <w:gridCol w:w="2011"/>
        <w:gridCol w:w="2013"/>
      </w:tblGrid>
      <w:tr w:rsidR="00E710AA" w:rsidRPr="00E710AA" w14:paraId="4B41CCE6" w14:textId="77777777" w:rsidTr="0082383A">
        <w:trPr>
          <w:trHeight w:val="20"/>
        </w:trPr>
        <w:tc>
          <w:tcPr>
            <w:tcW w:w="1040" w:type="dxa"/>
            <w:vAlign w:val="center"/>
            <w:hideMark/>
          </w:tcPr>
          <w:p w14:paraId="7FAF8731"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hỏi</w:t>
            </w:r>
          </w:p>
        </w:tc>
        <w:tc>
          <w:tcPr>
            <w:tcW w:w="600" w:type="dxa"/>
            <w:vAlign w:val="center"/>
            <w:hideMark/>
          </w:tcPr>
          <w:p w14:paraId="0BE270F1"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Đáp án</w:t>
            </w:r>
          </w:p>
        </w:tc>
        <w:tc>
          <w:tcPr>
            <w:tcW w:w="2020" w:type="dxa"/>
            <w:vAlign w:val="center"/>
            <w:hideMark/>
          </w:tcPr>
          <w:p w14:paraId="0913970F"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Giải thích A</w:t>
            </w:r>
          </w:p>
        </w:tc>
        <w:tc>
          <w:tcPr>
            <w:tcW w:w="2020" w:type="dxa"/>
            <w:vAlign w:val="center"/>
            <w:hideMark/>
          </w:tcPr>
          <w:p w14:paraId="4F96D531"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Giải thích B</w:t>
            </w:r>
          </w:p>
        </w:tc>
        <w:tc>
          <w:tcPr>
            <w:tcW w:w="2020" w:type="dxa"/>
            <w:vAlign w:val="center"/>
            <w:hideMark/>
          </w:tcPr>
          <w:p w14:paraId="687DA239"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Giải thích C</w:t>
            </w:r>
          </w:p>
        </w:tc>
        <w:tc>
          <w:tcPr>
            <w:tcW w:w="2020" w:type="dxa"/>
            <w:vAlign w:val="center"/>
            <w:hideMark/>
          </w:tcPr>
          <w:p w14:paraId="36C5545A" w14:textId="77777777" w:rsidR="00E710AA" w:rsidRPr="00E710AA" w:rsidRDefault="00E710AA" w:rsidP="0082383A">
            <w:pPr>
              <w:spacing w:after="0" w:line="240" w:lineRule="auto"/>
              <w:jc w:val="center"/>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Giải thích D</w:t>
            </w:r>
          </w:p>
        </w:tc>
      </w:tr>
      <w:tr w:rsidR="00E710AA" w:rsidRPr="00E710AA" w14:paraId="1F68DB88" w14:textId="77777777" w:rsidTr="0082383A">
        <w:trPr>
          <w:trHeight w:val="20"/>
        </w:trPr>
        <w:tc>
          <w:tcPr>
            <w:tcW w:w="1040" w:type="dxa"/>
            <w:vAlign w:val="center"/>
            <w:hideMark/>
          </w:tcPr>
          <w:p w14:paraId="365E62F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w:t>
            </w:r>
          </w:p>
        </w:tc>
        <w:tc>
          <w:tcPr>
            <w:tcW w:w="600" w:type="dxa"/>
            <w:vAlign w:val="center"/>
            <w:hideMark/>
          </w:tcPr>
          <w:p w14:paraId="5E07FF5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73DB835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"imitating" (bắt chước) không phù hợp với ngữ cảnh thay đổi cách suy nghĩ của mọi người.</w:t>
            </w:r>
          </w:p>
        </w:tc>
        <w:tc>
          <w:tcPr>
            <w:tcW w:w="2020" w:type="dxa"/>
            <w:vAlign w:val="center"/>
            <w:hideMark/>
          </w:tcPr>
          <w:p w14:paraId="474BBA6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"damaging" (phá hủy) mang nghĩa tiêu cực, không đúng với sự thay đổi được đề cập trong bài.</w:t>
            </w:r>
          </w:p>
        </w:tc>
        <w:tc>
          <w:tcPr>
            <w:tcW w:w="2020" w:type="dxa"/>
            <w:vAlign w:val="center"/>
            <w:hideMark/>
          </w:tcPr>
          <w:p w14:paraId="3F3A50F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"transforming" (biến đổi) đồng nghĩa với "reshaping" trong việc định hình lại cách con người nghĩ về sự hỗ trợ.</w:t>
            </w:r>
          </w:p>
        </w:tc>
        <w:tc>
          <w:tcPr>
            <w:tcW w:w="2020" w:type="dxa"/>
            <w:vAlign w:val="center"/>
            <w:hideMark/>
          </w:tcPr>
          <w:p w14:paraId="3B3FF36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"maintaining" (duy trì) mang nghĩa giữ nguyên, trái ngược với ý nghĩa thay đổi của từ gốc. </w:t>
            </w:r>
          </w:p>
        </w:tc>
      </w:tr>
      <w:tr w:rsidR="00E710AA" w:rsidRPr="00E710AA" w14:paraId="7C6C1E4B" w14:textId="77777777" w:rsidTr="0082383A">
        <w:trPr>
          <w:trHeight w:val="20"/>
        </w:trPr>
        <w:tc>
          <w:tcPr>
            <w:tcW w:w="1040" w:type="dxa"/>
            <w:vAlign w:val="center"/>
            <w:hideMark/>
          </w:tcPr>
          <w:p w14:paraId="14BABD96"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w:t>
            </w:r>
          </w:p>
        </w:tc>
        <w:tc>
          <w:tcPr>
            <w:tcW w:w="600" w:type="dxa"/>
            <w:vAlign w:val="center"/>
            <w:hideMark/>
          </w:tcPr>
          <w:p w14:paraId="5B07DA6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B</w:t>
            </w:r>
          </w:p>
        </w:tc>
        <w:tc>
          <w:tcPr>
            <w:tcW w:w="2020" w:type="dxa"/>
            <w:vAlign w:val="center"/>
            <w:hideMark/>
          </w:tcPr>
          <w:p w14:paraId="5752F3D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"habits" (thói quen) được liệt kê rõ ràng trong việc xây dựng bức tranh trực tiếp về người dùng.</w:t>
            </w:r>
          </w:p>
        </w:tc>
        <w:tc>
          <w:tcPr>
            <w:tcW w:w="2020" w:type="dxa"/>
            <w:vAlign w:val="center"/>
            <w:hideMark/>
          </w:tcPr>
          <w:p w14:paraId="2460749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"voice recordings" (ghi âm giọng nói) hoàn toàn không được nhắc đến trong đoạn 1 của văn bản.</w:t>
            </w:r>
          </w:p>
        </w:tc>
        <w:tc>
          <w:tcPr>
            <w:tcW w:w="2020" w:type="dxa"/>
            <w:vAlign w:val="center"/>
            <w:hideMark/>
          </w:tcPr>
          <w:p w14:paraId="236497C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"emotional shifts" (sự thay đổi cảm xúc) là một trong những yếu tố được ứng dụng thu thập.</w:t>
            </w:r>
          </w:p>
        </w:tc>
        <w:tc>
          <w:tcPr>
            <w:tcW w:w="2020" w:type="dxa"/>
            <w:vAlign w:val="center"/>
            <w:hideMark/>
          </w:tcPr>
          <w:p w14:paraId="651F4A2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"users' worries" (những lo lắng của người dùng) nằm trong danh sách các thông tin ứng dụng tổng hợp. </w:t>
            </w:r>
          </w:p>
        </w:tc>
      </w:tr>
      <w:tr w:rsidR="00E710AA" w:rsidRPr="00E710AA" w14:paraId="7F980E93" w14:textId="77777777" w:rsidTr="0082383A">
        <w:trPr>
          <w:trHeight w:val="20"/>
        </w:trPr>
        <w:tc>
          <w:tcPr>
            <w:tcW w:w="1040" w:type="dxa"/>
            <w:vAlign w:val="center"/>
            <w:hideMark/>
          </w:tcPr>
          <w:p w14:paraId="5AD30D9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w:t>
            </w:r>
          </w:p>
        </w:tc>
        <w:tc>
          <w:tcPr>
            <w:tcW w:w="600" w:type="dxa"/>
            <w:vAlign w:val="center"/>
            <w:hideMark/>
          </w:tcPr>
          <w:p w14:paraId="6DBC6A49"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704660F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"boundaries" (ranh giới) là danh từ chỉ vật, không phù hợp để thực hiện hành động "appreciate" (đánh giá cao).</w:t>
            </w:r>
          </w:p>
        </w:tc>
        <w:tc>
          <w:tcPr>
            <w:tcW w:w="2020" w:type="dxa"/>
            <w:vAlign w:val="center"/>
            <w:hideMark/>
          </w:tcPr>
          <w:p w14:paraId="5702B3A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"prompts" (lời nhắc) không thể là chủ thể của hành động trân trọng sự riêng tư.</w:t>
            </w:r>
          </w:p>
        </w:tc>
        <w:tc>
          <w:tcPr>
            <w:tcW w:w="2020" w:type="dxa"/>
            <w:vAlign w:val="center"/>
            <w:hideMark/>
          </w:tcPr>
          <w:p w14:paraId="1DB3ECD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"users" (người dùng) là đối tượng đang được nhắc đến ở vế trước, và chính họ là người đánh giá cao tính riêng tư.</w:t>
            </w:r>
          </w:p>
        </w:tc>
        <w:tc>
          <w:tcPr>
            <w:tcW w:w="2020" w:type="dxa"/>
            <w:vAlign w:val="center"/>
            <w:hideMark/>
          </w:tcPr>
          <w:p w14:paraId="1A9274D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"routines" (thói quen) là danh từ chỉ vật, sai logic ngữ pháp và ngữ nghĩa. </w:t>
            </w:r>
          </w:p>
        </w:tc>
      </w:tr>
      <w:tr w:rsidR="00E710AA" w:rsidRPr="00E710AA" w14:paraId="00C68963" w14:textId="77777777" w:rsidTr="0082383A">
        <w:trPr>
          <w:trHeight w:val="20"/>
        </w:trPr>
        <w:tc>
          <w:tcPr>
            <w:tcW w:w="1040" w:type="dxa"/>
            <w:vAlign w:val="center"/>
            <w:hideMark/>
          </w:tcPr>
          <w:p w14:paraId="0774146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4</w:t>
            </w:r>
          </w:p>
        </w:tc>
        <w:tc>
          <w:tcPr>
            <w:tcW w:w="600" w:type="dxa"/>
            <w:vAlign w:val="center"/>
            <w:hideMark/>
          </w:tcPr>
          <w:p w14:paraId="0B3F04E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0BAB5A0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Đáp án này truyền tải chính xác ý nghĩa: việc cung cấp hỗ trợ đúng thời điểm giúp người dùng cảm thấy được hỗ trợ </w:t>
            </w:r>
            <w:r w:rsidRPr="00E710AA">
              <w:rPr>
                <w:rFonts w:ascii="Times New Roman" w:eastAsia="Times New Roman" w:hAnsi="Times New Roman" w:cs="Times New Roman"/>
                <w:color w:val="1F1F1F"/>
                <w:sz w:val="24"/>
                <w:szCs w:val="24"/>
              </w:rPr>
              <w:lastRenderedPageBreak/>
              <w:t>và giảm thiểu lời khuyên thừa.</w:t>
            </w:r>
          </w:p>
        </w:tc>
        <w:tc>
          <w:tcPr>
            <w:tcW w:w="2020" w:type="dxa"/>
            <w:vAlign w:val="center"/>
            <w:hideMark/>
          </w:tcPr>
          <w:p w14:paraId="47A95EB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Đáp án này sai nghĩa vì cho rằng hệ thống vô tình làm tăng các đề xuất không cần thiết.</w:t>
            </w:r>
          </w:p>
        </w:tc>
        <w:tc>
          <w:tcPr>
            <w:tcW w:w="2020" w:type="dxa"/>
            <w:vAlign w:val="center"/>
            <w:hideMark/>
          </w:tcPr>
          <w:p w14:paraId="47A25CD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Đáp án này sai nghĩa vì cho rằng hệ thống ưu tiên giảm số lượng gợi ý hơn là hỗ trợ kịp thời.</w:t>
            </w:r>
          </w:p>
        </w:tc>
        <w:tc>
          <w:tcPr>
            <w:tcW w:w="2020" w:type="dxa"/>
            <w:vAlign w:val="center"/>
            <w:hideMark/>
          </w:tcPr>
          <w:p w14:paraId="3AD10C0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Đáp án này sai ý vì nói người dùng cảm thấy được hỗ trợ chủ yếu do giảm số lượng lời khuyên chứ không </w:t>
            </w:r>
            <w:r w:rsidRPr="00E710AA">
              <w:rPr>
                <w:rFonts w:ascii="Times New Roman" w:eastAsia="Times New Roman" w:hAnsi="Times New Roman" w:cs="Times New Roman"/>
                <w:color w:val="1F1F1F"/>
                <w:sz w:val="24"/>
                <w:szCs w:val="24"/>
              </w:rPr>
              <w:lastRenderedPageBreak/>
              <w:t xml:space="preserve">phải do đúng thời điểm. </w:t>
            </w:r>
          </w:p>
        </w:tc>
      </w:tr>
      <w:tr w:rsidR="00E710AA" w:rsidRPr="00E710AA" w14:paraId="52B6D1C2" w14:textId="77777777" w:rsidTr="0082383A">
        <w:trPr>
          <w:trHeight w:val="20"/>
        </w:trPr>
        <w:tc>
          <w:tcPr>
            <w:tcW w:w="1040" w:type="dxa"/>
            <w:vAlign w:val="center"/>
            <w:hideMark/>
          </w:tcPr>
          <w:p w14:paraId="5B915A9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lastRenderedPageBreak/>
              <w:t>Câu 5</w:t>
            </w:r>
          </w:p>
        </w:tc>
        <w:tc>
          <w:tcPr>
            <w:tcW w:w="600" w:type="dxa"/>
            <w:vAlign w:val="center"/>
            <w:hideMark/>
          </w:tcPr>
          <w:p w14:paraId="724CC1C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05B29E5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"clarify" (làm rõ) mang nghĩa trái ngược hoàn toàn với "blur" (làm mờ đi ranh giới).</w:t>
            </w:r>
          </w:p>
        </w:tc>
        <w:tc>
          <w:tcPr>
            <w:tcW w:w="2020" w:type="dxa"/>
            <w:vAlign w:val="center"/>
            <w:hideMark/>
          </w:tcPr>
          <w:p w14:paraId="307198D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"ignore" (phớt lờ) không mang nghĩa trái ngược trực tiếp với việc làm mờ ranh giới.</w:t>
            </w:r>
          </w:p>
        </w:tc>
        <w:tc>
          <w:tcPr>
            <w:tcW w:w="2020" w:type="dxa"/>
            <w:vAlign w:val="center"/>
            <w:hideMark/>
          </w:tcPr>
          <w:p w14:paraId="1102630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"combine" (kết hợp) không phải là từ trái nghĩa của từ làm mờ ranh giới.</w:t>
            </w:r>
          </w:p>
        </w:tc>
        <w:tc>
          <w:tcPr>
            <w:tcW w:w="2020" w:type="dxa"/>
            <w:vAlign w:val="center"/>
            <w:hideMark/>
          </w:tcPr>
          <w:p w14:paraId="239CD57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"confuse" (gây nhầm lẫn) có nét nghĩa tương đồng chứ không phải trái nghĩa với "blur". </w:t>
            </w:r>
          </w:p>
        </w:tc>
      </w:tr>
      <w:tr w:rsidR="00E710AA" w:rsidRPr="00E710AA" w14:paraId="2E1E2B1B" w14:textId="77777777" w:rsidTr="0082383A">
        <w:trPr>
          <w:trHeight w:val="20"/>
        </w:trPr>
        <w:tc>
          <w:tcPr>
            <w:tcW w:w="1040" w:type="dxa"/>
            <w:vAlign w:val="center"/>
            <w:hideMark/>
          </w:tcPr>
          <w:p w14:paraId="4A99E5E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6</w:t>
            </w:r>
          </w:p>
        </w:tc>
        <w:tc>
          <w:tcPr>
            <w:tcW w:w="600" w:type="dxa"/>
            <w:vAlign w:val="center"/>
            <w:hideMark/>
          </w:tcPr>
          <w:p w14:paraId="0D15B46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14B5781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Hệ thống không cung cấp lời khuyên ngẫu nhiên mà được nhắm mục tiêu (targeted).</w:t>
            </w:r>
          </w:p>
        </w:tc>
        <w:tc>
          <w:tcPr>
            <w:tcW w:w="2020" w:type="dxa"/>
            <w:vAlign w:val="center"/>
            <w:hideMark/>
          </w:tcPr>
          <w:p w14:paraId="10CD644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Chuyên gia lo ngại về sự phụ thuộc và việc nhầm lẫn ranh giới, trái ngược với ý kiến cho rằng điều này khó xảy ra.</w:t>
            </w:r>
          </w:p>
        </w:tc>
        <w:tc>
          <w:tcPr>
            <w:tcW w:w="2020" w:type="dxa"/>
            <w:vAlign w:val="center"/>
            <w:hideMark/>
          </w:tcPr>
          <w:p w14:paraId="328BA6D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Các ứng dụng xây dựng bức tranh toàn diện dựa trên nhiều yếu tố chứ không chỉ qua các cuộc trò chuyện ngắn.</w:t>
            </w:r>
          </w:p>
        </w:tc>
        <w:tc>
          <w:tcPr>
            <w:tcW w:w="2020" w:type="dxa"/>
            <w:vAlign w:val="center"/>
            <w:hideMark/>
          </w:tcPr>
          <w:p w14:paraId="328B894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Các công cụ phân tích giúp đánh giá kiểu mẫu và đề xuất khi nào người dùng cần tìm kiếm sự trợ giúp từ con người. </w:t>
            </w:r>
          </w:p>
        </w:tc>
      </w:tr>
      <w:tr w:rsidR="00E710AA" w:rsidRPr="00E710AA" w14:paraId="12D6D21D" w14:textId="77777777" w:rsidTr="0082383A">
        <w:trPr>
          <w:trHeight w:val="20"/>
        </w:trPr>
        <w:tc>
          <w:tcPr>
            <w:tcW w:w="1040" w:type="dxa"/>
            <w:vAlign w:val="center"/>
            <w:hideMark/>
          </w:tcPr>
          <w:p w14:paraId="56687B2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7</w:t>
            </w:r>
          </w:p>
        </w:tc>
        <w:tc>
          <w:tcPr>
            <w:tcW w:w="600" w:type="dxa"/>
            <w:vAlign w:val="center"/>
            <w:hideMark/>
          </w:tcPr>
          <w:p w14:paraId="01489668"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58BEB91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3 tập trung vào các rủi ro và mối lo ngại về tâm lý.</w:t>
            </w:r>
          </w:p>
        </w:tc>
        <w:tc>
          <w:tcPr>
            <w:tcW w:w="2020" w:type="dxa"/>
            <w:vAlign w:val="center"/>
            <w:hideMark/>
          </w:tcPr>
          <w:p w14:paraId="27CFB91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1 giới thiệu tổng quan về cách AI đang định hình lại sự hỗ trợ .</w:t>
            </w:r>
          </w:p>
        </w:tc>
        <w:tc>
          <w:tcPr>
            <w:tcW w:w="2020" w:type="dxa"/>
            <w:vAlign w:val="center"/>
            <w:hideMark/>
          </w:tcPr>
          <w:p w14:paraId="66FC97D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4 nói về các biện pháp an toàn và sự giám sát .</w:t>
            </w:r>
          </w:p>
        </w:tc>
        <w:tc>
          <w:tcPr>
            <w:tcW w:w="2020" w:type="dxa"/>
            <w:vAlign w:val="center"/>
            <w:hideMark/>
          </w:tcPr>
          <w:p w14:paraId="035945C9"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Đoạn 2 miêu tả chi tiết các thiết lập cá nhân hóa và hệ thống điều chỉnh phản hồi theo phản hồi của người dùng. </w:t>
            </w:r>
          </w:p>
        </w:tc>
      </w:tr>
      <w:tr w:rsidR="00E710AA" w:rsidRPr="00E710AA" w14:paraId="461051AA" w14:textId="77777777" w:rsidTr="0082383A">
        <w:trPr>
          <w:trHeight w:val="20"/>
        </w:trPr>
        <w:tc>
          <w:tcPr>
            <w:tcW w:w="1040" w:type="dxa"/>
            <w:vAlign w:val="center"/>
            <w:hideMark/>
          </w:tcPr>
          <w:p w14:paraId="56476ED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8</w:t>
            </w:r>
          </w:p>
        </w:tc>
        <w:tc>
          <w:tcPr>
            <w:tcW w:w="600" w:type="dxa"/>
            <w:vAlign w:val="center"/>
            <w:hideMark/>
          </w:tcPr>
          <w:p w14:paraId="0D72F7F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0E9F360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4 đề cập trực tiếp đến việc nền tảng theo dõi thay đổi giọng điệu và cảnh báo nguy cơ theo thời gian thực (the moment risk rises).</w:t>
            </w:r>
          </w:p>
        </w:tc>
        <w:tc>
          <w:tcPr>
            <w:tcW w:w="2020" w:type="dxa"/>
            <w:vAlign w:val="center"/>
            <w:hideMark/>
          </w:tcPr>
          <w:p w14:paraId="0CE8F4C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1 không nhắc đến việc giám sát sự an toàn của người dùng .</w:t>
            </w:r>
          </w:p>
        </w:tc>
        <w:tc>
          <w:tcPr>
            <w:tcW w:w="2020" w:type="dxa"/>
            <w:vAlign w:val="center"/>
            <w:hideMark/>
          </w:tcPr>
          <w:p w14:paraId="6003334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3 nêu lên các rủi ro phụ thuộc thay vì các công cụ giám sát thời gian thực.</w:t>
            </w:r>
          </w:p>
        </w:tc>
        <w:tc>
          <w:tcPr>
            <w:tcW w:w="2020" w:type="dxa"/>
            <w:vAlign w:val="center"/>
            <w:hideMark/>
          </w:tcPr>
          <w:p w14:paraId="75D34BD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Đoạn 2 nói về sự tùy chỉnh cá nhân hóa và tính bảo mật riêng tư, không nói về việc giám sát an toàn khẩn cấp . </w:t>
            </w:r>
          </w:p>
        </w:tc>
      </w:tr>
      <w:tr w:rsidR="00E710AA" w:rsidRPr="00E710AA" w14:paraId="43F9D0FC" w14:textId="77777777" w:rsidTr="0082383A">
        <w:trPr>
          <w:trHeight w:val="20"/>
        </w:trPr>
        <w:tc>
          <w:tcPr>
            <w:tcW w:w="1040" w:type="dxa"/>
            <w:vAlign w:val="center"/>
            <w:hideMark/>
          </w:tcPr>
          <w:p w14:paraId="7B19BE3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9</w:t>
            </w:r>
          </w:p>
        </w:tc>
        <w:tc>
          <w:tcPr>
            <w:tcW w:w="600" w:type="dxa"/>
            <w:vAlign w:val="center"/>
            <w:hideMark/>
          </w:tcPr>
          <w:p w14:paraId="25A2836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66977DA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Không có thông tin cho thấy gánh nặng tài chính khiến họ rút lui khỏi đời sống kinh tế của con cái.</w:t>
            </w:r>
          </w:p>
        </w:tc>
        <w:tc>
          <w:tcPr>
            <w:tcW w:w="2020" w:type="dxa"/>
            <w:vAlign w:val="center"/>
            <w:hideMark/>
          </w:tcPr>
          <w:p w14:paraId="5CBC3FD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Bài đọc khẳng định sự phụ thuộc này khác xa với một mối quan hệ hòa hợp.</w:t>
            </w:r>
          </w:p>
        </w:tc>
        <w:tc>
          <w:tcPr>
            <w:tcW w:w="2020" w:type="dxa"/>
            <w:vAlign w:val="center"/>
            <w:hideMark/>
          </w:tcPr>
          <w:p w14:paraId="3CEA029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văn nhắc đến việc thay vì tận hưởng hưu trí, họ bị trói buộc, chứ không phải bị cấm nghỉ hưu ở độ tuổi chuẩn.</w:t>
            </w:r>
          </w:p>
        </w:tc>
        <w:tc>
          <w:tcPr>
            <w:tcW w:w="2020" w:type="dxa"/>
            <w:vAlign w:val="center"/>
            <w:hideMark/>
          </w:tcPr>
          <w:p w14:paraId="7871E20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Gánh nặng này gây ra các triệu chứng về sức khỏe tâm thần mà trước đây thường bị nhầm lẫn là do tuổi già. </w:t>
            </w:r>
          </w:p>
        </w:tc>
      </w:tr>
      <w:tr w:rsidR="00E710AA" w:rsidRPr="00E710AA" w14:paraId="70550DB8" w14:textId="77777777" w:rsidTr="0082383A">
        <w:trPr>
          <w:trHeight w:val="20"/>
        </w:trPr>
        <w:tc>
          <w:tcPr>
            <w:tcW w:w="1040" w:type="dxa"/>
            <w:vAlign w:val="center"/>
            <w:hideMark/>
          </w:tcPr>
          <w:p w14:paraId="61D3194E"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10</w:t>
            </w:r>
          </w:p>
        </w:tc>
        <w:tc>
          <w:tcPr>
            <w:tcW w:w="600" w:type="dxa"/>
            <w:vAlign w:val="center"/>
            <w:hideMark/>
          </w:tcPr>
          <w:p w14:paraId="7A7EA34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674B6BE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"struggles to deal with" (vật lộn để giải quyết) phản ánh chính xác khó khăn mà nước Anh đang đối mặt với nhóm "NEETs".</w:t>
            </w:r>
          </w:p>
        </w:tc>
        <w:tc>
          <w:tcPr>
            <w:tcW w:w="2020" w:type="dxa"/>
            <w:vAlign w:val="center"/>
            <w:hideMark/>
          </w:tcPr>
          <w:p w14:paraId="5377804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Nước Anh không nhiệt tình áp dụng (enthusiastically adopts) tình trạng này.</w:t>
            </w:r>
          </w:p>
        </w:tc>
        <w:tc>
          <w:tcPr>
            <w:tcW w:w="2020" w:type="dxa"/>
            <w:vAlign w:val="center"/>
            <w:hideMark/>
          </w:tcPr>
          <w:p w14:paraId="2A809A8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Đây là một vấn đề nghiêm trọng nên không thể nói là họ phớt lờ nó thành công (successfully ignores).</w:t>
            </w:r>
          </w:p>
        </w:tc>
        <w:tc>
          <w:tcPr>
            <w:tcW w:w="2020" w:type="dxa"/>
            <w:vAlign w:val="center"/>
            <w:hideMark/>
          </w:tcPr>
          <w:p w14:paraId="22B40CA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Không có thông tin nào trong đoạn văn nhắc đến việc cấm đoán bằng pháp luật (legally prohibits). </w:t>
            </w:r>
          </w:p>
        </w:tc>
      </w:tr>
      <w:tr w:rsidR="00E710AA" w:rsidRPr="00E710AA" w14:paraId="2EA4E6B8" w14:textId="77777777" w:rsidTr="0082383A">
        <w:trPr>
          <w:trHeight w:val="20"/>
        </w:trPr>
        <w:tc>
          <w:tcPr>
            <w:tcW w:w="1040" w:type="dxa"/>
            <w:vAlign w:val="center"/>
            <w:hideMark/>
          </w:tcPr>
          <w:p w14:paraId="09FC438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11</w:t>
            </w:r>
          </w:p>
        </w:tc>
        <w:tc>
          <w:tcPr>
            <w:tcW w:w="600" w:type="dxa"/>
            <w:vAlign w:val="center"/>
            <w:hideMark/>
          </w:tcPr>
          <w:p w14:paraId="2DB688D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4EACD6A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Tác giả không so sánh mức độ trí tuệ hay thể chất giữa các quốc gia này theo hướng </w:t>
            </w:r>
            <w:r w:rsidRPr="00E710AA">
              <w:rPr>
                <w:rFonts w:ascii="Times New Roman" w:eastAsia="Times New Roman" w:hAnsi="Times New Roman" w:cs="Times New Roman"/>
                <w:color w:val="1F1F1F"/>
                <w:sz w:val="24"/>
                <w:szCs w:val="24"/>
              </w:rPr>
              <w:lastRenderedPageBreak/>
              <w:t>tiêu cực về mặt sinh học.</w:t>
            </w:r>
          </w:p>
        </w:tc>
        <w:tc>
          <w:tcPr>
            <w:tcW w:w="2020" w:type="dxa"/>
            <w:vAlign w:val="center"/>
            <w:hideMark/>
          </w:tcPr>
          <w:p w14:paraId="57B2CA9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Thuật ngữ được dùng không chỉ ra vấn đề cốt lõi là rào cản ngôn ngữ .</w:t>
            </w:r>
          </w:p>
        </w:tc>
        <w:tc>
          <w:tcPr>
            <w:tcW w:w="2020" w:type="dxa"/>
            <w:vAlign w:val="center"/>
            <w:hideMark/>
          </w:tcPr>
          <w:p w14:paraId="0113A0A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Tác giả khẳng định dù dùng nhãn mác nào thì xu hướng trì hoãn tự lập tài chính này </w:t>
            </w:r>
            <w:r w:rsidRPr="00E710AA">
              <w:rPr>
                <w:rFonts w:ascii="Times New Roman" w:eastAsia="Times New Roman" w:hAnsi="Times New Roman" w:cs="Times New Roman"/>
                <w:color w:val="1F1F1F"/>
                <w:sz w:val="24"/>
                <w:szCs w:val="24"/>
              </w:rPr>
              <w:lastRenderedPageBreak/>
              <w:t>vượt qua mọi ranh giới văn hóa.</w:t>
            </w:r>
          </w:p>
        </w:tc>
        <w:tc>
          <w:tcPr>
            <w:tcW w:w="2020" w:type="dxa"/>
            <w:vAlign w:val="center"/>
            <w:hideMark/>
          </w:tcPr>
          <w:p w14:paraId="6906382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Đoạn văn không đánh giá khu vực phương Tây đang vật lộn nhiều hơn phương Đông . </w:t>
            </w:r>
          </w:p>
        </w:tc>
      </w:tr>
      <w:tr w:rsidR="00E710AA" w:rsidRPr="00E710AA" w14:paraId="6AB8EED3" w14:textId="77777777" w:rsidTr="0082383A">
        <w:trPr>
          <w:trHeight w:val="20"/>
        </w:trPr>
        <w:tc>
          <w:tcPr>
            <w:tcW w:w="1040" w:type="dxa"/>
            <w:vAlign w:val="center"/>
            <w:hideMark/>
          </w:tcPr>
          <w:p w14:paraId="0733E8C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12</w:t>
            </w:r>
          </w:p>
        </w:tc>
        <w:tc>
          <w:tcPr>
            <w:tcW w:w="600" w:type="dxa"/>
            <w:vAlign w:val="center"/>
            <w:hideMark/>
          </w:tcPr>
          <w:p w14:paraId="6D75DC2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5D8BB76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Sự sợ hãi bị xã hội đánh giá là một yếu tố thúc đẩy thêm chứ không phải là cái bẫy tâm lý cốt lõi được định nghĩa.</w:t>
            </w:r>
          </w:p>
        </w:tc>
        <w:tc>
          <w:tcPr>
            <w:tcW w:w="2020" w:type="dxa"/>
            <w:vAlign w:val="center"/>
            <w:hideMark/>
          </w:tcPr>
          <w:p w14:paraId="5407F8B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Không có thông tin cho thấy cha mẹ mong đợi con cái sẽ trả lại khoản đầu tư này .</w:t>
            </w:r>
          </w:p>
        </w:tc>
        <w:tc>
          <w:tcPr>
            <w:tcW w:w="2020" w:type="dxa"/>
            <w:vAlign w:val="center"/>
            <w:hideMark/>
          </w:tcPr>
          <w:p w14:paraId="50DD0F1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Bài đọc gọi đó là sự vị tha đặt sai chỗ, không phải khao khát kiểm soát.</w:t>
            </w:r>
          </w:p>
        </w:tc>
        <w:tc>
          <w:tcPr>
            <w:tcW w:w="2020" w:type="dxa"/>
            <w:vAlign w:val="center"/>
            <w:hideMark/>
          </w:tcPr>
          <w:p w14:paraId="4B99EA2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Cái bẫy tâm lý nằm ở chỗ nhiều bậc cha mẹ tin rằng việc để con cái vất vả là bằng chứng cho sự thất bại của chính họ trong việc nuôi dạy con. </w:t>
            </w:r>
          </w:p>
        </w:tc>
      </w:tr>
      <w:tr w:rsidR="00E710AA" w:rsidRPr="00E710AA" w14:paraId="1C012069" w14:textId="77777777" w:rsidTr="0082383A">
        <w:trPr>
          <w:trHeight w:val="20"/>
        </w:trPr>
        <w:tc>
          <w:tcPr>
            <w:tcW w:w="1040" w:type="dxa"/>
            <w:vAlign w:val="center"/>
            <w:hideMark/>
          </w:tcPr>
          <w:p w14:paraId="53AEFCE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13</w:t>
            </w:r>
          </w:p>
        </w:tc>
        <w:tc>
          <w:tcPr>
            <w:tcW w:w="600" w:type="dxa"/>
            <w:vAlign w:val="center"/>
            <w:hideMark/>
          </w:tcPr>
          <w:p w14:paraId="7B28109D"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B</w:t>
            </w:r>
          </w:p>
        </w:tc>
        <w:tc>
          <w:tcPr>
            <w:tcW w:w="2020" w:type="dxa"/>
            <w:vAlign w:val="center"/>
            <w:hideMark/>
          </w:tcPr>
          <w:p w14:paraId="4B123EC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này ngược lại còn làm gia tăng nhu cầu duy trì lớp vỏ bọc thành công vì sợ xã hội phán xét.</w:t>
            </w:r>
          </w:p>
        </w:tc>
        <w:tc>
          <w:tcPr>
            <w:tcW w:w="2020" w:type="dxa"/>
            <w:vAlign w:val="center"/>
            <w:hideMark/>
          </w:tcPr>
          <w:p w14:paraId="16007B1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Hành vi "tiếp tay" này làm suy giảm sức khỏe của cha mẹ đồng thời bóp nghẹt sự kiên cường của con cái.</w:t>
            </w:r>
          </w:p>
        </w:tc>
        <w:tc>
          <w:tcPr>
            <w:tcW w:w="2020" w:type="dxa"/>
            <w:vAlign w:val="center"/>
            <w:hideMark/>
          </w:tcPr>
          <w:p w14:paraId="2B7E1C49"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Cha mẹ đã phải hy sinh sự an toàn tài chính của mình nên không thể là duy trì toàn bộ tài chính.</w:t>
            </w:r>
          </w:p>
        </w:tc>
        <w:tc>
          <w:tcPr>
            <w:tcW w:w="2020" w:type="dxa"/>
            <w:vAlign w:val="center"/>
            <w:hideMark/>
          </w:tcPr>
          <w:p w14:paraId="200FDF9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Việc cung cấp mạng lưới an toàn vô điều kiện làm kìm hãm, chứ không phải tạo ra, sự kiên cường của con cái. </w:t>
            </w:r>
          </w:p>
        </w:tc>
      </w:tr>
      <w:tr w:rsidR="00E710AA" w:rsidRPr="00E710AA" w14:paraId="482A4586" w14:textId="77777777" w:rsidTr="0082383A">
        <w:trPr>
          <w:trHeight w:val="20"/>
        </w:trPr>
        <w:tc>
          <w:tcPr>
            <w:tcW w:w="1040" w:type="dxa"/>
            <w:vAlign w:val="center"/>
            <w:hideMark/>
          </w:tcPr>
          <w:p w14:paraId="72452858"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14</w:t>
            </w:r>
          </w:p>
        </w:tc>
        <w:tc>
          <w:tcPr>
            <w:tcW w:w="600" w:type="dxa"/>
            <w:vAlign w:val="center"/>
            <w:hideMark/>
          </w:tcPr>
          <w:p w14:paraId="6229ADC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73FBB3A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Chu kỳ được nhắc tới không liên quan đến quá trình lão hóa sinh học.</w:t>
            </w:r>
          </w:p>
        </w:tc>
        <w:tc>
          <w:tcPr>
            <w:tcW w:w="2020" w:type="dxa"/>
            <w:vAlign w:val="center"/>
            <w:hideMark/>
          </w:tcPr>
          <w:p w14:paraId="1A27249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Bài đọc không đổ lỗi trực tiếp tình trạng này cho biến động kinh tế toàn cầu.</w:t>
            </w:r>
          </w:p>
        </w:tc>
        <w:tc>
          <w:tcPr>
            <w:tcW w:w="2020" w:type="dxa"/>
            <w:vAlign w:val="center"/>
            <w:hideMark/>
          </w:tcPr>
          <w:p w14:paraId="6AB4A86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Áp lực phán xét là nguyên nhân thúc đẩy, không phải là bản thân chu kỳ.</w:t>
            </w:r>
          </w:p>
        </w:tc>
        <w:tc>
          <w:tcPr>
            <w:tcW w:w="2020" w:type="dxa"/>
            <w:vAlign w:val="center"/>
            <w:hideMark/>
          </w:tcPr>
          <w:p w14:paraId="2FAE2E1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Từ "this cycle" ám chỉ trực tiếp vòng lặp của việc cha mẹ liên tục hy sinh tài chính và tạo ra sự phụ thuộc của con cái . </w:t>
            </w:r>
          </w:p>
        </w:tc>
      </w:tr>
      <w:tr w:rsidR="00E710AA" w:rsidRPr="00E710AA" w14:paraId="59F5ED22" w14:textId="77777777" w:rsidTr="0082383A">
        <w:trPr>
          <w:trHeight w:val="20"/>
        </w:trPr>
        <w:tc>
          <w:tcPr>
            <w:tcW w:w="1040" w:type="dxa"/>
            <w:vAlign w:val="center"/>
            <w:hideMark/>
          </w:tcPr>
          <w:p w14:paraId="18BA0F7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15</w:t>
            </w:r>
          </w:p>
        </w:tc>
        <w:tc>
          <w:tcPr>
            <w:tcW w:w="600" w:type="dxa"/>
            <w:vAlign w:val="center"/>
            <w:hideMark/>
          </w:tcPr>
          <w:p w14:paraId="34F0A77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0F54780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Chuyên gia không khuyên dùng các giải pháp y tế thực tế để chữa trị lo âu.</w:t>
            </w:r>
          </w:p>
        </w:tc>
        <w:tc>
          <w:tcPr>
            <w:tcW w:w="2020" w:type="dxa"/>
            <w:vAlign w:val="center"/>
            <w:hideMark/>
          </w:tcPr>
          <w:p w14:paraId="368CDC6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Câu này làm sai lệch ý tác giả khi cho rằng sự hỗ trợ vô điều kiện là cần thiết.</w:t>
            </w:r>
          </w:p>
        </w:tc>
        <w:tc>
          <w:tcPr>
            <w:tcW w:w="2020" w:type="dxa"/>
            <w:vAlign w:val="center"/>
            <w:hideMark/>
          </w:tcPr>
          <w:p w14:paraId="54EF9EE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Ý câu là viện trợ vô điều kiện làm giảm đi sự cấp thiết phải độc lập, tức là giảm động lực tự chủ của con cái.</w:t>
            </w:r>
          </w:p>
        </w:tc>
        <w:tc>
          <w:tcPr>
            <w:tcW w:w="2020" w:type="dxa"/>
            <w:vAlign w:val="center"/>
            <w:hideMark/>
          </w:tcPr>
          <w:p w14:paraId="07AEDA3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Cung cấp thuốc an thần chỉ là một phép ẩn dụ trong bài, không phải là phương pháp thực tế được khuyên dùng. </w:t>
            </w:r>
          </w:p>
        </w:tc>
      </w:tr>
      <w:tr w:rsidR="00E710AA" w:rsidRPr="00E710AA" w14:paraId="143057A1" w14:textId="77777777" w:rsidTr="0082383A">
        <w:trPr>
          <w:trHeight w:val="20"/>
        </w:trPr>
        <w:tc>
          <w:tcPr>
            <w:tcW w:w="1040" w:type="dxa"/>
            <w:vAlign w:val="center"/>
            <w:hideMark/>
          </w:tcPr>
          <w:p w14:paraId="4A970EF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16</w:t>
            </w:r>
          </w:p>
        </w:tc>
        <w:tc>
          <w:tcPr>
            <w:tcW w:w="600" w:type="dxa"/>
            <w:vAlign w:val="center"/>
            <w:hideMark/>
          </w:tcPr>
          <w:p w14:paraId="2024E20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41FF31E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Có thể suy luận được ý này vì bài đọc yêu cầu xã hội nhận diện các dấu hiệu cơ thể sớm, như rối loạn giấc ngủ, là biểu hiện của gánh nặng này.</w:t>
            </w:r>
          </w:p>
        </w:tc>
        <w:tc>
          <w:tcPr>
            <w:tcW w:w="2020" w:type="dxa"/>
            <w:vAlign w:val="center"/>
            <w:hideMark/>
          </w:tcPr>
          <w:p w14:paraId="762965B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Không có chi tiết nào so sánh mức độ tự lập giữa thanh niên Pháp và Trung Quốc.</w:t>
            </w:r>
          </w:p>
        </w:tc>
        <w:tc>
          <w:tcPr>
            <w:tcW w:w="2020" w:type="dxa"/>
            <w:vAlign w:val="center"/>
            <w:hideMark/>
          </w:tcPr>
          <w:p w14:paraId="2D2F392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Tác giả coi đây là xu hướng thay đổi cấu trúc chậm trưởng thành, không nói nó sẽ biến mất khi kinh tế ổn định.</w:t>
            </w:r>
          </w:p>
        </w:tc>
        <w:tc>
          <w:tcPr>
            <w:tcW w:w="2020" w:type="dxa"/>
            <w:vAlign w:val="center"/>
            <w:hideMark/>
          </w:tcPr>
          <w:p w14:paraId="07B05EC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Bài đọc nói cha mẹ sợ bị đánh giá nếu để con cái vất vả, chứ không khẳng định việc từ chối giúp đỡ sẽ bị xã hội chỉ trích là ích kỷ. </w:t>
            </w:r>
          </w:p>
        </w:tc>
      </w:tr>
      <w:tr w:rsidR="00E710AA" w:rsidRPr="00E710AA" w14:paraId="30AF5EDE" w14:textId="77777777" w:rsidTr="0082383A">
        <w:trPr>
          <w:trHeight w:val="20"/>
        </w:trPr>
        <w:tc>
          <w:tcPr>
            <w:tcW w:w="1040" w:type="dxa"/>
            <w:vAlign w:val="center"/>
            <w:hideMark/>
          </w:tcPr>
          <w:p w14:paraId="1D9E6779"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17</w:t>
            </w:r>
          </w:p>
        </w:tc>
        <w:tc>
          <w:tcPr>
            <w:tcW w:w="600" w:type="dxa"/>
            <w:vAlign w:val="center"/>
            <w:hideMark/>
          </w:tcPr>
          <w:p w14:paraId="60F4585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18EDAAB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Không hợp lý vì chưa nhắc đến khái niệm cảm giác tội lỗi.</w:t>
            </w:r>
          </w:p>
        </w:tc>
        <w:tc>
          <w:tcPr>
            <w:tcW w:w="2020" w:type="dxa"/>
            <w:vAlign w:val="center"/>
            <w:hideMark/>
          </w:tcPr>
          <w:p w14:paraId="70BC0A2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Đoạn này đang giải thích về các thuật ngữ đa quốc gia, không liên quan trực tiếp đến cảm giác tội lỗi của cha mẹ.</w:t>
            </w:r>
          </w:p>
        </w:tc>
        <w:tc>
          <w:tcPr>
            <w:tcW w:w="2020" w:type="dxa"/>
            <w:vAlign w:val="center"/>
            <w:hideMark/>
          </w:tcPr>
          <w:p w14:paraId="78DE267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Vị trí này nằm trong đoạn đề xuất giải pháp, việc chèn nguyên nhân gây tội lỗi không phù hợp về mạch logic.</w:t>
            </w:r>
          </w:p>
        </w:tc>
        <w:tc>
          <w:tcPr>
            <w:tcW w:w="2020" w:type="dxa"/>
            <w:vAlign w:val="center"/>
            <w:hideMark/>
          </w:tcPr>
          <w:p w14:paraId="7D75F11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Câu chèn vào rất khớp mạch văn sau khi tác giả đề cập đến việc cha mẹ coi sự khó khăn của con là bằng chứng thất bại của mình, sinh ra "cảm giác tội lỗi" (Such guilt). </w:t>
            </w:r>
          </w:p>
        </w:tc>
      </w:tr>
      <w:tr w:rsidR="00E710AA" w:rsidRPr="00E710AA" w14:paraId="78A03B7A" w14:textId="77777777" w:rsidTr="0082383A">
        <w:trPr>
          <w:trHeight w:val="20"/>
        </w:trPr>
        <w:tc>
          <w:tcPr>
            <w:tcW w:w="1040" w:type="dxa"/>
            <w:vAlign w:val="center"/>
            <w:hideMark/>
          </w:tcPr>
          <w:p w14:paraId="52D73E3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lastRenderedPageBreak/>
              <w:t>Câu 18</w:t>
            </w:r>
          </w:p>
        </w:tc>
        <w:tc>
          <w:tcPr>
            <w:tcW w:w="600" w:type="dxa"/>
            <w:vAlign w:val="center"/>
            <w:hideMark/>
          </w:tcPr>
          <w:p w14:paraId="2679CBF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2991DD3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Câu này bao quát đầy đủ cả thực trạng toàn cầu, hậu quả về sức khỏe, kinh tế cho người già và giải pháp cung cấp hỗ trợ có điều kiện .</w:t>
            </w:r>
          </w:p>
        </w:tc>
        <w:tc>
          <w:tcPr>
            <w:tcW w:w="2020" w:type="dxa"/>
            <w:vAlign w:val="center"/>
            <w:hideMark/>
          </w:tcPr>
          <w:p w14:paraId="5BDFE90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Chuyên gia yêu cầu thay đổi cách hỗ trợ con cái, không phải dùng phương pháp y tế chữa bệnh tâm lý cho cha mẹ .</w:t>
            </w:r>
          </w:p>
        </w:tc>
        <w:tc>
          <w:tcPr>
            <w:tcW w:w="2020" w:type="dxa"/>
            <w:vAlign w:val="center"/>
            <w:hideMark/>
          </w:tcPr>
          <w:p w14:paraId="37FAD8C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Áp lực xã hội chỉ là yếu tố thúc đẩy thêm, nguyên nhân cốt lõi là việc con cái trưởng thành bị phụ thuộc tài chính.</w:t>
            </w:r>
          </w:p>
        </w:tc>
        <w:tc>
          <w:tcPr>
            <w:tcW w:w="2020" w:type="dxa"/>
            <w:vAlign w:val="center"/>
            <w:hideMark/>
          </w:tcPr>
          <w:p w14:paraId="2D5A349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Bài đọc không đề xuất áp dụng các quy định pháp luật nghiêm ngặt để giải quyết vấn đề này . </w:t>
            </w:r>
          </w:p>
        </w:tc>
      </w:tr>
      <w:tr w:rsidR="00E710AA" w:rsidRPr="00E710AA" w14:paraId="48896639" w14:textId="77777777" w:rsidTr="0082383A">
        <w:trPr>
          <w:trHeight w:val="20"/>
        </w:trPr>
        <w:tc>
          <w:tcPr>
            <w:tcW w:w="1040" w:type="dxa"/>
            <w:vAlign w:val="center"/>
            <w:hideMark/>
          </w:tcPr>
          <w:p w14:paraId="3616A11F"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19</w:t>
            </w:r>
          </w:p>
        </w:tc>
        <w:tc>
          <w:tcPr>
            <w:tcW w:w="600" w:type="dxa"/>
            <w:vAlign w:val="center"/>
            <w:hideMark/>
          </w:tcPr>
          <w:p w14:paraId="1D2FE806"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B</w:t>
            </w:r>
          </w:p>
        </w:tc>
        <w:tc>
          <w:tcPr>
            <w:tcW w:w="2020" w:type="dxa"/>
            <w:vAlign w:val="center"/>
            <w:hideMark/>
          </w:tcPr>
          <w:p w14:paraId="51E4E5C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Trái với nghĩa của câu sau là hàng triệu bé gái vẫn bị kết hôn sớm.</w:t>
            </w:r>
          </w:p>
        </w:tc>
        <w:tc>
          <w:tcPr>
            <w:tcW w:w="2020" w:type="dxa"/>
            <w:vAlign w:val="center"/>
            <w:hideMark/>
          </w:tcPr>
          <w:p w14:paraId="554FD49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Vế "Although..." mang nghĩa nhượng bộ, nên vế chính cần thể hiện vấn đề vẫn còn rất phổ biến ở nhiều khu vực.</w:t>
            </w:r>
          </w:p>
        </w:tc>
        <w:tc>
          <w:tcPr>
            <w:tcW w:w="2020" w:type="dxa"/>
            <w:vAlign w:val="center"/>
            <w:hideMark/>
          </w:tcPr>
          <w:p w14:paraId="729B81C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Sai hoàn toàn về mặt logic khi số liệu cho thấy hàng triệu ca vẫn diễn ra.</w:t>
            </w:r>
          </w:p>
        </w:tc>
        <w:tc>
          <w:tcPr>
            <w:tcW w:w="2020" w:type="dxa"/>
            <w:vAlign w:val="center"/>
            <w:hideMark/>
          </w:tcPr>
          <w:p w14:paraId="52CE1F0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Mâu thuẫn với nội dung đoạn sau kêu gọi cộng đồng quốc tế chấm dứt vấn đề này. </w:t>
            </w:r>
          </w:p>
        </w:tc>
      </w:tr>
      <w:tr w:rsidR="00E710AA" w:rsidRPr="00E710AA" w14:paraId="19AE4E02" w14:textId="77777777" w:rsidTr="0082383A">
        <w:trPr>
          <w:trHeight w:val="20"/>
        </w:trPr>
        <w:tc>
          <w:tcPr>
            <w:tcW w:w="1040" w:type="dxa"/>
            <w:vAlign w:val="center"/>
            <w:hideMark/>
          </w:tcPr>
          <w:p w14:paraId="5A237D4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20</w:t>
            </w:r>
          </w:p>
        </w:tc>
        <w:tc>
          <w:tcPr>
            <w:tcW w:w="600" w:type="dxa"/>
            <w:vAlign w:val="center"/>
            <w:hideMark/>
          </w:tcPr>
          <w:p w14:paraId="1E89440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1303FF2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Cụm chủ ngữ số nhiều "various global issues" cần một động từ chính, thì hiện tại tiếp diễn "are threatening" hoàn toàn phù hợp ngữ pháp và ngữ nghĩa.</w:t>
            </w:r>
          </w:p>
        </w:tc>
        <w:tc>
          <w:tcPr>
            <w:tcW w:w="2020" w:type="dxa"/>
            <w:vAlign w:val="center"/>
            <w:hideMark/>
          </w:tcPr>
          <w:p w14:paraId="1B60A55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Thiếu động từ to be để tạo thành thì tiếp diễn hoặc cấu trúc câu hợp lệ.</w:t>
            </w:r>
          </w:p>
        </w:tc>
        <w:tc>
          <w:tcPr>
            <w:tcW w:w="2020" w:type="dxa"/>
            <w:vAlign w:val="center"/>
            <w:hideMark/>
          </w:tcPr>
          <w:p w14:paraId="65B374C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sử dụng đại từ quan hệ "that" biến câu này thành một mệnh đề không có động từ chính.</w:t>
            </w:r>
          </w:p>
        </w:tc>
        <w:tc>
          <w:tcPr>
            <w:tcW w:w="2020" w:type="dxa"/>
            <w:vAlign w:val="center"/>
            <w:hideMark/>
          </w:tcPr>
          <w:p w14:paraId="3093303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Cấu trúc "of which" không tạo thành được một câu hoàn chỉnh về mặt ngữ pháp tại vị trí này. </w:t>
            </w:r>
          </w:p>
        </w:tc>
      </w:tr>
      <w:tr w:rsidR="00E710AA" w:rsidRPr="00E710AA" w14:paraId="160EA51D" w14:textId="77777777" w:rsidTr="0082383A">
        <w:trPr>
          <w:trHeight w:val="20"/>
        </w:trPr>
        <w:tc>
          <w:tcPr>
            <w:tcW w:w="1040" w:type="dxa"/>
            <w:vAlign w:val="center"/>
            <w:hideMark/>
          </w:tcPr>
          <w:p w14:paraId="4EF35EE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21</w:t>
            </w:r>
          </w:p>
        </w:tc>
        <w:tc>
          <w:tcPr>
            <w:tcW w:w="600" w:type="dxa"/>
            <w:vAlign w:val="center"/>
            <w:hideMark/>
          </w:tcPr>
          <w:p w14:paraId="698C4B8F"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463B9B0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Liên từ "but" tạo sự gãy khúc trong câu, không phù hợp nối tiếp ý về nguyên nhân phân biệt giới tính.</w:t>
            </w:r>
          </w:p>
        </w:tc>
        <w:tc>
          <w:tcPr>
            <w:tcW w:w="2020" w:type="dxa"/>
            <w:vAlign w:val="center"/>
            <w:hideMark/>
          </w:tcPr>
          <w:p w14:paraId="77B6E22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"So that" thường chỉ mục đích, không hợp lý khi áp dụng cho hậu quả của hủ tục.</w:t>
            </w:r>
          </w:p>
        </w:tc>
        <w:tc>
          <w:tcPr>
            <w:tcW w:w="2020" w:type="dxa"/>
            <w:vAlign w:val="center"/>
            <w:hideMark/>
          </w:tcPr>
          <w:p w14:paraId="3E0E31F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Rút gọn mệnh đề quan hệ dạng chủ động phải dùng V-ing, "caused" là dạng V-ed (bị động) nên sai ngữ pháp.</w:t>
            </w:r>
          </w:p>
        </w:tc>
        <w:tc>
          <w:tcPr>
            <w:tcW w:w="2020" w:type="dxa"/>
            <w:vAlign w:val="center"/>
            <w:hideMark/>
          </w:tcPr>
          <w:p w14:paraId="419F445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Cấu trúc V-ing "leaving" rút gọn mệnh đề trạng ngữ chỉ kết quả, nối tiếp mạch lạc việc phân biệt giới tính biến nữ giới thành nạn nhân chính. </w:t>
            </w:r>
          </w:p>
        </w:tc>
      </w:tr>
      <w:tr w:rsidR="00E710AA" w:rsidRPr="00E710AA" w14:paraId="73B6A9EF" w14:textId="77777777" w:rsidTr="0082383A">
        <w:trPr>
          <w:trHeight w:val="20"/>
        </w:trPr>
        <w:tc>
          <w:tcPr>
            <w:tcW w:w="1040" w:type="dxa"/>
            <w:vAlign w:val="center"/>
            <w:hideMark/>
          </w:tcPr>
          <w:p w14:paraId="4AE110A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22</w:t>
            </w:r>
          </w:p>
        </w:tc>
        <w:tc>
          <w:tcPr>
            <w:tcW w:w="600" w:type="dxa"/>
            <w:vAlign w:val="center"/>
            <w:hideMark/>
          </w:tcPr>
          <w:p w14:paraId="37484BE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6B93CA9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Rút gọn dạng V-ed mang nghĩa bị động không phù hợp với chủ thể đang được nhắc tới.</w:t>
            </w:r>
          </w:p>
        </w:tc>
        <w:tc>
          <w:tcPr>
            <w:tcW w:w="2020" w:type="dxa"/>
            <w:vAlign w:val="center"/>
            <w:hideMark/>
          </w:tcPr>
          <w:p w14:paraId="1FCF99C9"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Thiếu đại từ quan hệ hoặc chủ ngữ để câu chuẩn xác về mặt ngữ pháp.</w:t>
            </w:r>
          </w:p>
        </w:tc>
        <w:tc>
          <w:tcPr>
            <w:tcW w:w="2020" w:type="dxa"/>
            <w:vAlign w:val="center"/>
            <w:hideMark/>
          </w:tcPr>
          <w:p w14:paraId="7A4B7DF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Đại từ quan hệ "which" thay thế cho toàn bộ sự việc phía trước, chia động từ "transfers" số ít rất chính xác.</w:t>
            </w:r>
          </w:p>
        </w:tc>
        <w:tc>
          <w:tcPr>
            <w:tcW w:w="2020" w:type="dxa"/>
            <w:vAlign w:val="center"/>
            <w:hideMark/>
          </w:tcPr>
          <w:p w14:paraId="3D2C9E0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Cấu trúc "of which" đi kèm cụm danh từ phía sau trong trường hợp này bị sai cú pháp tiếng Anh cơ bản. </w:t>
            </w:r>
          </w:p>
        </w:tc>
      </w:tr>
      <w:tr w:rsidR="00E710AA" w:rsidRPr="00E710AA" w14:paraId="1DDE3C40" w14:textId="77777777" w:rsidTr="0082383A">
        <w:trPr>
          <w:trHeight w:val="20"/>
        </w:trPr>
        <w:tc>
          <w:tcPr>
            <w:tcW w:w="1040" w:type="dxa"/>
            <w:vAlign w:val="center"/>
            <w:hideMark/>
          </w:tcPr>
          <w:p w14:paraId="41A235A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23</w:t>
            </w:r>
          </w:p>
        </w:tc>
        <w:tc>
          <w:tcPr>
            <w:tcW w:w="600" w:type="dxa"/>
            <w:vAlign w:val="center"/>
            <w:hideMark/>
          </w:tcPr>
          <w:p w14:paraId="06F11D0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6AF2D1A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Cấu trúc câu điều kiện loại 3 không phù hợp để diễn tả sự thật ở hiện tại.</w:t>
            </w:r>
          </w:p>
        </w:tc>
        <w:tc>
          <w:tcPr>
            <w:tcW w:w="2020" w:type="dxa"/>
            <w:vAlign w:val="center"/>
            <w:hideMark/>
          </w:tcPr>
          <w:p w14:paraId="0062048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Cách diễn đạt khiên cưỡng, lủng củng và không tự nhiên trong ngữ cảnh văn bản.</w:t>
            </w:r>
          </w:p>
        </w:tc>
        <w:tc>
          <w:tcPr>
            <w:tcW w:w="2020" w:type="dxa"/>
            <w:vAlign w:val="center"/>
            <w:hideMark/>
          </w:tcPr>
          <w:p w14:paraId="4B53A70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Cụm hiện tại phân từ "Being separated..." bị lỗi "dangling modifier", làm cho chủ ngữ "the practice" trở thành đối tượng bị tách biệt khỏi xã hội.</w:t>
            </w:r>
          </w:p>
        </w:tc>
        <w:tc>
          <w:tcPr>
            <w:tcW w:w="2020" w:type="dxa"/>
            <w:vAlign w:val="center"/>
            <w:hideMark/>
          </w:tcPr>
          <w:p w14:paraId="633C5D9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"It" thay thế cho hủ tục tảo hôn, diễn tả mạch lạc hậu quả gây ra các vấn đề tâm lý nghiêm trọng. </w:t>
            </w:r>
          </w:p>
        </w:tc>
      </w:tr>
      <w:tr w:rsidR="00E710AA" w:rsidRPr="00E710AA" w14:paraId="297A82BF" w14:textId="77777777" w:rsidTr="0082383A">
        <w:trPr>
          <w:trHeight w:val="20"/>
        </w:trPr>
        <w:tc>
          <w:tcPr>
            <w:tcW w:w="1040" w:type="dxa"/>
            <w:shd w:val="clear" w:color="000000" w:fill="FFFF00"/>
            <w:vAlign w:val="center"/>
            <w:hideMark/>
          </w:tcPr>
          <w:p w14:paraId="71BA1C0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24</w:t>
            </w:r>
          </w:p>
        </w:tc>
        <w:tc>
          <w:tcPr>
            <w:tcW w:w="600" w:type="dxa"/>
            <w:shd w:val="clear" w:color="000000" w:fill="FFFF00"/>
            <w:vAlign w:val="center"/>
            <w:hideMark/>
          </w:tcPr>
          <w:p w14:paraId="0BD2C610" w14:textId="77A01ADA" w:rsidR="00E710AA" w:rsidRPr="00E710AA" w:rsidRDefault="0082383A" w:rsidP="00E710AA">
            <w:pPr>
              <w:spacing w:after="0" w:line="240" w:lineRule="auto"/>
              <w:rPr>
                <w:rFonts w:ascii="Times New Roman" w:eastAsia="Times New Roman" w:hAnsi="Times New Roman" w:cs="Times New Roman"/>
                <w:b/>
                <w:bCs/>
                <w:color w:val="1F1F1F"/>
                <w:sz w:val="24"/>
                <w:szCs w:val="24"/>
              </w:rPr>
            </w:pPr>
            <w:r w:rsidRPr="0082383A">
              <w:rPr>
                <w:rFonts w:ascii="Times New Roman" w:eastAsia="Times New Roman" w:hAnsi="Times New Roman" w:cs="Times New Roman"/>
                <w:b/>
                <w:bCs/>
                <w:color w:val="1F1F1F"/>
                <w:sz w:val="24"/>
                <w:szCs w:val="24"/>
              </w:rPr>
              <w:t>B</w:t>
            </w:r>
          </w:p>
        </w:tc>
        <w:tc>
          <w:tcPr>
            <w:tcW w:w="2020" w:type="dxa"/>
            <w:vAlign w:val="center"/>
            <w:hideMark/>
          </w:tcPr>
          <w:p w14:paraId="3005153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Trật tự thư sai logic khi đưa </w:t>
            </w:r>
            <w:r w:rsidRPr="00E710AA">
              <w:rPr>
                <w:rFonts w:ascii="Times New Roman" w:eastAsia="Times New Roman" w:hAnsi="Times New Roman" w:cs="Times New Roman"/>
                <w:color w:val="1F1F1F"/>
                <w:sz w:val="24"/>
                <w:szCs w:val="24"/>
              </w:rPr>
              <w:lastRenderedPageBreak/>
              <w:t>hướng dẫn đăng ký trước khi nói rõ mục đích của chương trình .</w:t>
            </w:r>
          </w:p>
        </w:tc>
        <w:tc>
          <w:tcPr>
            <w:tcW w:w="2020" w:type="dxa"/>
            <w:vAlign w:val="center"/>
            <w:hideMark/>
          </w:tcPr>
          <w:p w14:paraId="4E0C1B80" w14:textId="28118865"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Mở đầu (c): Nêu rõ mục đích của </w:t>
            </w:r>
            <w:r w:rsidRPr="00E710AA">
              <w:rPr>
                <w:rFonts w:ascii="Times New Roman" w:eastAsia="Times New Roman" w:hAnsi="Times New Roman" w:cs="Times New Roman"/>
                <w:color w:val="1F1F1F"/>
                <w:sz w:val="24"/>
                <w:szCs w:val="24"/>
              </w:rPr>
              <w:lastRenderedPageBreak/>
              <w:t xml:space="preserve">bức thư </w:t>
            </w:r>
            <w:r w:rsidR="0082383A" w:rsidRPr="0082383A">
              <w:rPr>
                <w:rFonts w:ascii="Times New Roman" w:eastAsia="Times New Roman" w:hAnsi="Times New Roman" w:cs="Times New Roman"/>
                <w:color w:val="1F1F1F"/>
                <w:sz w:val="24"/>
                <w:szCs w:val="24"/>
              </w:rPr>
              <w:t xml:space="preserve"> </w:t>
            </w:r>
            <w:r w:rsidRPr="00E710AA">
              <w:rPr>
                <w:rFonts w:ascii="Times New Roman" w:eastAsia="Times New Roman" w:hAnsi="Times New Roman" w:cs="Times New Roman"/>
                <w:color w:val="1F1F1F"/>
                <w:sz w:val="24"/>
                <w:szCs w:val="24"/>
              </w:rPr>
              <w:t>Hành động (a): Cung cấp ngay hướng dẫn cách thức đăng ký</w:t>
            </w:r>
            <w:r w:rsidR="0082383A" w:rsidRPr="0082383A">
              <w:rPr>
                <w:rFonts w:ascii="Times New Roman" w:eastAsia="Times New Roman" w:hAnsi="Times New Roman" w:cs="Times New Roman"/>
                <w:color w:val="1F1F1F"/>
                <w:sz w:val="24"/>
                <w:szCs w:val="24"/>
              </w:rPr>
              <w:t xml:space="preserve">. </w:t>
            </w:r>
            <w:r w:rsidRPr="00E710AA">
              <w:rPr>
                <w:rFonts w:ascii="Times New Roman" w:eastAsia="Times New Roman" w:hAnsi="Times New Roman" w:cs="Times New Roman"/>
                <w:color w:val="1F1F1F"/>
                <w:sz w:val="24"/>
                <w:szCs w:val="24"/>
              </w:rPr>
              <w:t xml:space="preserve">Kết quả liền kề (b): Thông báo điều gì sẽ xảy ra ngay sau khi hoàn tất bước (a) </w:t>
            </w:r>
          </w:p>
        </w:tc>
        <w:tc>
          <w:tcPr>
            <w:tcW w:w="2020" w:type="dxa"/>
            <w:vAlign w:val="center"/>
            <w:hideMark/>
          </w:tcPr>
          <w:p w14:paraId="4187D7A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Trật tự chuẩn: Lý do tổ chức (c) -&gt; </w:t>
            </w:r>
            <w:r w:rsidRPr="00E710AA">
              <w:rPr>
                <w:rFonts w:ascii="Times New Roman" w:eastAsia="Times New Roman" w:hAnsi="Times New Roman" w:cs="Times New Roman"/>
                <w:color w:val="1F1F1F"/>
                <w:sz w:val="24"/>
                <w:szCs w:val="24"/>
              </w:rPr>
              <w:lastRenderedPageBreak/>
              <w:t>Lưu ý số lượng/hạn chót (d) -&gt; Cách đăng ký (a) -&gt; Các bước sau đăng ký (b) -&gt; Thông tin liên hệ (e) .</w:t>
            </w:r>
          </w:p>
        </w:tc>
        <w:tc>
          <w:tcPr>
            <w:tcW w:w="2020" w:type="dxa"/>
            <w:vAlign w:val="center"/>
            <w:hideMark/>
          </w:tcPr>
          <w:p w14:paraId="136875C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Việc đưa thông tin sau khi đăng ký </w:t>
            </w:r>
            <w:r w:rsidRPr="00E710AA">
              <w:rPr>
                <w:rFonts w:ascii="Times New Roman" w:eastAsia="Times New Roman" w:hAnsi="Times New Roman" w:cs="Times New Roman"/>
                <w:color w:val="1F1F1F"/>
                <w:sz w:val="24"/>
                <w:szCs w:val="24"/>
              </w:rPr>
              <w:lastRenderedPageBreak/>
              <w:t xml:space="preserve">(b) lên trước cách thức đăng ký (a) là không hợp logic quy trình . </w:t>
            </w:r>
          </w:p>
        </w:tc>
      </w:tr>
      <w:tr w:rsidR="00E710AA" w:rsidRPr="00E710AA" w14:paraId="05BA5423" w14:textId="77777777" w:rsidTr="0082383A">
        <w:trPr>
          <w:trHeight w:val="20"/>
        </w:trPr>
        <w:tc>
          <w:tcPr>
            <w:tcW w:w="1040" w:type="dxa"/>
            <w:vAlign w:val="center"/>
            <w:hideMark/>
          </w:tcPr>
          <w:p w14:paraId="5BF6A91C"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lastRenderedPageBreak/>
              <w:t>Câu 25</w:t>
            </w:r>
          </w:p>
        </w:tc>
        <w:tc>
          <w:tcPr>
            <w:tcW w:w="600" w:type="dxa"/>
            <w:vAlign w:val="center"/>
            <w:hideMark/>
          </w:tcPr>
          <w:p w14:paraId="20C27B3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5FFD402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Trật tự chuẩn: Câu chủ đề về việc làm tình nguyện (d) -&gt; Kể quá trình chuẩn bị (a) -&gt; Thực tế phát sinh vấn đề (b) -&gt; Cách giải quyết (e) -&gt; Rút ra bài học (c) .</w:t>
            </w:r>
          </w:p>
        </w:tc>
        <w:tc>
          <w:tcPr>
            <w:tcW w:w="2020" w:type="dxa"/>
            <w:vAlign w:val="center"/>
            <w:hideMark/>
          </w:tcPr>
          <w:p w14:paraId="1193C05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đặt câu kể lể sự chuẩn bị (a) lên trước câu giới thiệu chủ đề (d) làm bài viết thiếu tính mở đầu .</w:t>
            </w:r>
          </w:p>
        </w:tc>
        <w:tc>
          <w:tcPr>
            <w:tcW w:w="2020" w:type="dxa"/>
            <w:vAlign w:val="center"/>
            <w:hideMark/>
          </w:tcPr>
          <w:p w14:paraId="6C47643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đặt câu mô tả bài học (c) chen vào giữa sự việc đang kể làm đứt mạch đoạn văn .</w:t>
            </w:r>
          </w:p>
        </w:tc>
        <w:tc>
          <w:tcPr>
            <w:tcW w:w="2020" w:type="dxa"/>
            <w:vAlign w:val="center"/>
            <w:hideMark/>
          </w:tcPr>
          <w:p w14:paraId="09DD315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Cấu trúc này đặt câu kết luận (d) xuống cuối nhưng nội dung của nó phù hợp làm câu mở đoạn hơn . </w:t>
            </w:r>
          </w:p>
        </w:tc>
      </w:tr>
      <w:tr w:rsidR="00E710AA" w:rsidRPr="00E710AA" w14:paraId="2E49633D" w14:textId="77777777" w:rsidTr="0082383A">
        <w:trPr>
          <w:trHeight w:val="20"/>
        </w:trPr>
        <w:tc>
          <w:tcPr>
            <w:tcW w:w="1040" w:type="dxa"/>
            <w:vAlign w:val="center"/>
            <w:hideMark/>
          </w:tcPr>
          <w:p w14:paraId="583A766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26</w:t>
            </w:r>
          </w:p>
        </w:tc>
        <w:tc>
          <w:tcPr>
            <w:tcW w:w="600" w:type="dxa"/>
            <w:vAlign w:val="center"/>
            <w:hideMark/>
          </w:tcPr>
          <w:p w14:paraId="55DDA71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335FC40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đáp lại "I see" (b) trước khi đối phương cung cấp thông tin (a) là sai quy luật hội thoại .</w:t>
            </w:r>
          </w:p>
        </w:tc>
        <w:tc>
          <w:tcPr>
            <w:tcW w:w="2020" w:type="dxa"/>
            <w:vAlign w:val="center"/>
            <w:hideMark/>
          </w:tcPr>
          <w:p w14:paraId="7BEFC32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Trật tự này sai ở điểm Huy không thể trả lời "Not really" (a) sau khi Trang đưa ra bình luận về cập nhật trực tuyến (b) .</w:t>
            </w:r>
          </w:p>
        </w:tc>
        <w:tc>
          <w:tcPr>
            <w:tcW w:w="2020" w:type="dxa"/>
            <w:vAlign w:val="center"/>
            <w:hideMark/>
          </w:tcPr>
          <w:p w14:paraId="381F09C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Hội thoại hợp lý: Trang hỏi (c) -&gt; Huy đáp (a) -&gt; Trang nhận xét (b) -&gt; Huy đồng tình (e) -&gt; Trang chốt vấn đề (d) .</w:t>
            </w:r>
          </w:p>
        </w:tc>
        <w:tc>
          <w:tcPr>
            <w:tcW w:w="2020" w:type="dxa"/>
            <w:vAlign w:val="center"/>
            <w:hideMark/>
          </w:tcPr>
          <w:p w14:paraId="19C8253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Bắt đầu đoạn hội thoại bằng một câu chốt luận điểm (d) là hoàn toàn sai ngữ cảnh . </w:t>
            </w:r>
          </w:p>
        </w:tc>
      </w:tr>
      <w:tr w:rsidR="00E710AA" w:rsidRPr="00E710AA" w14:paraId="469A3B7B" w14:textId="77777777" w:rsidTr="0082383A">
        <w:trPr>
          <w:trHeight w:val="20"/>
        </w:trPr>
        <w:tc>
          <w:tcPr>
            <w:tcW w:w="1040" w:type="dxa"/>
            <w:vAlign w:val="center"/>
            <w:hideMark/>
          </w:tcPr>
          <w:p w14:paraId="5070D8F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27</w:t>
            </w:r>
          </w:p>
        </w:tc>
        <w:tc>
          <w:tcPr>
            <w:tcW w:w="600" w:type="dxa"/>
            <w:vAlign w:val="center"/>
            <w:hideMark/>
          </w:tcPr>
          <w:p w14:paraId="1440C30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138736C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Vị trí của câu kết luận (a) bị đẩy lên giữa đoạn văn làm mất đi cấu trúc tổng - phân - hợp .</w:t>
            </w:r>
          </w:p>
        </w:tc>
        <w:tc>
          <w:tcPr>
            <w:tcW w:w="2020" w:type="dxa"/>
            <w:vAlign w:val="center"/>
            <w:hideMark/>
          </w:tcPr>
          <w:p w14:paraId="454CD8C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Việc đưa bằng chứng mở rộng (b) lên trước hành động cụ thể tại chỗ làm việc (c) gây thiếu logic .</w:t>
            </w:r>
          </w:p>
        </w:tc>
        <w:tc>
          <w:tcPr>
            <w:tcW w:w="2020" w:type="dxa"/>
            <w:vAlign w:val="center"/>
            <w:hideMark/>
          </w:tcPr>
          <w:p w14:paraId="3024AFB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Câu chốt (a) lại được đặt ngay giữa các luận điểm giải thích chi tiết, không hợp lý .</w:t>
            </w:r>
          </w:p>
        </w:tc>
        <w:tc>
          <w:tcPr>
            <w:tcW w:w="2020" w:type="dxa"/>
            <w:vAlign w:val="center"/>
            <w:hideMark/>
          </w:tcPr>
          <w:p w14:paraId="0A75070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Logic chặt chẽ: Nêu xu hướng "job hugging" (e) -&gt; Giải thích sự miễn cưỡng nghỉ việc (c) -&gt; Xu hướng nhận thêm việc (d) -&gt; Bằng chứng khác (b) -&gt; Kết luận (a) . </w:t>
            </w:r>
          </w:p>
        </w:tc>
      </w:tr>
      <w:tr w:rsidR="00E710AA" w:rsidRPr="00E710AA" w14:paraId="4A6BEE7D" w14:textId="77777777" w:rsidTr="0082383A">
        <w:trPr>
          <w:trHeight w:val="20"/>
        </w:trPr>
        <w:tc>
          <w:tcPr>
            <w:tcW w:w="1040" w:type="dxa"/>
            <w:vAlign w:val="center"/>
            <w:hideMark/>
          </w:tcPr>
          <w:p w14:paraId="25E8A52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28</w:t>
            </w:r>
          </w:p>
        </w:tc>
        <w:tc>
          <w:tcPr>
            <w:tcW w:w="600" w:type="dxa"/>
            <w:vAlign w:val="center"/>
            <w:hideMark/>
          </w:tcPr>
          <w:p w14:paraId="69152109"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6AA13BDF"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Phản hồi "That's useful" (a) không thể nằm ở đầu khi chưa có ai đưa ra thông tin gì.</w:t>
            </w:r>
          </w:p>
        </w:tc>
        <w:tc>
          <w:tcPr>
            <w:tcW w:w="2020" w:type="dxa"/>
            <w:vAlign w:val="center"/>
            <w:hideMark/>
          </w:tcPr>
          <w:p w14:paraId="4682BF8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Câu phản biện về bảo mật dữ liệu (c) không thể đứng đầu hội thoại .</w:t>
            </w:r>
          </w:p>
        </w:tc>
        <w:tc>
          <w:tcPr>
            <w:tcW w:w="2020" w:type="dxa"/>
            <w:vAlign w:val="center"/>
            <w:hideMark/>
          </w:tcPr>
          <w:p w14:paraId="20FAEFB2"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Sự sắp xếp này lộn xộn, làm mất đi tính liên kết giữa vấn đề và lời giải thích bảo mật .</w:t>
            </w:r>
          </w:p>
        </w:tc>
        <w:tc>
          <w:tcPr>
            <w:tcW w:w="2020" w:type="dxa"/>
            <w:vAlign w:val="center"/>
            <w:hideMark/>
          </w:tcPr>
          <w:p w14:paraId="55CA3BF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Khởi đầu bằng việc chỉ ra công nghệ (b) -&gt; Nêu lo ngại về quyền riêng tư (a) -&gt; Đưa ra lời trấn an (c) là rất tự nhiên . </w:t>
            </w:r>
          </w:p>
        </w:tc>
      </w:tr>
      <w:tr w:rsidR="00E710AA" w:rsidRPr="00E710AA" w14:paraId="5BB13A35" w14:textId="77777777" w:rsidTr="0082383A">
        <w:trPr>
          <w:trHeight w:val="20"/>
        </w:trPr>
        <w:tc>
          <w:tcPr>
            <w:tcW w:w="1040" w:type="dxa"/>
            <w:vAlign w:val="center"/>
            <w:hideMark/>
          </w:tcPr>
          <w:p w14:paraId="29A9173D"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29</w:t>
            </w:r>
          </w:p>
        </w:tc>
        <w:tc>
          <w:tcPr>
            <w:tcW w:w="600" w:type="dxa"/>
            <w:vAlign w:val="center"/>
            <w:hideMark/>
          </w:tcPr>
          <w:p w14:paraId="56ED533B"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699ED0A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"Sum" thường dùng cho tổng tiền (sum of money), không kết hợp với giới hạn du khách.</w:t>
            </w:r>
          </w:p>
        </w:tc>
        <w:tc>
          <w:tcPr>
            <w:tcW w:w="2020" w:type="dxa"/>
            <w:vAlign w:val="center"/>
            <w:hideMark/>
          </w:tcPr>
          <w:p w14:paraId="0CB6944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"Pack" dùng cho bầy đàn động vật (pack of wolves), sai ngữ cảnh.</w:t>
            </w:r>
          </w:p>
        </w:tc>
        <w:tc>
          <w:tcPr>
            <w:tcW w:w="2020" w:type="dxa"/>
            <w:vAlign w:val="center"/>
            <w:hideMark/>
          </w:tcPr>
          <w:p w14:paraId="5363D8F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"Load" mang nghĩa gánh nặng, khối lượng, không phù hợp ở đây.</w:t>
            </w:r>
          </w:p>
        </w:tc>
        <w:tc>
          <w:tcPr>
            <w:tcW w:w="2020" w:type="dxa"/>
            <w:vAlign w:val="center"/>
            <w:hideMark/>
          </w:tcPr>
          <w:p w14:paraId="38883049"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Cụm từ cố định "a growing number of" (ngày càng nhiều) hoàn toàn chính xác. </w:t>
            </w:r>
          </w:p>
        </w:tc>
      </w:tr>
      <w:tr w:rsidR="00E710AA" w:rsidRPr="00E710AA" w14:paraId="52A36AFF" w14:textId="77777777" w:rsidTr="0082383A">
        <w:trPr>
          <w:trHeight w:val="20"/>
        </w:trPr>
        <w:tc>
          <w:tcPr>
            <w:tcW w:w="1040" w:type="dxa"/>
            <w:vAlign w:val="center"/>
            <w:hideMark/>
          </w:tcPr>
          <w:p w14:paraId="3912ED5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30</w:t>
            </w:r>
          </w:p>
        </w:tc>
        <w:tc>
          <w:tcPr>
            <w:tcW w:w="600" w:type="dxa"/>
            <w:vAlign w:val="center"/>
            <w:hideMark/>
          </w:tcPr>
          <w:p w14:paraId="2628775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B</w:t>
            </w:r>
          </w:p>
        </w:tc>
        <w:tc>
          <w:tcPr>
            <w:tcW w:w="2020" w:type="dxa"/>
            <w:vAlign w:val="center"/>
            <w:hideMark/>
          </w:tcPr>
          <w:p w14:paraId="79769EF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Dạng chủ động V-ing không đúng vì thành phố phải </w:t>
            </w:r>
            <w:r w:rsidRPr="00E710AA">
              <w:rPr>
                <w:rFonts w:ascii="Times New Roman" w:eastAsia="Times New Roman" w:hAnsi="Times New Roman" w:cs="Times New Roman"/>
                <w:color w:val="1F1F1F"/>
                <w:sz w:val="24"/>
                <w:szCs w:val="24"/>
              </w:rPr>
              <w:lastRenderedPageBreak/>
              <w:t>được định vị (bị động).</w:t>
            </w:r>
          </w:p>
        </w:tc>
        <w:tc>
          <w:tcPr>
            <w:tcW w:w="2020" w:type="dxa"/>
            <w:vAlign w:val="center"/>
            <w:hideMark/>
          </w:tcPr>
          <w:p w14:paraId="56BE491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Mệnh đề quan hệ rút gọn mang nghĩa bị động (which is located -</w:t>
            </w:r>
            <w:r w:rsidRPr="00E710AA">
              <w:rPr>
                <w:rFonts w:ascii="Times New Roman" w:eastAsia="Times New Roman" w:hAnsi="Times New Roman" w:cs="Times New Roman"/>
                <w:color w:val="1F1F1F"/>
                <w:sz w:val="24"/>
                <w:szCs w:val="24"/>
              </w:rPr>
              <w:lastRenderedPageBreak/>
              <w:t>&gt; located) là cấu trúc chuẩn xác.</w:t>
            </w:r>
          </w:p>
        </w:tc>
        <w:tc>
          <w:tcPr>
            <w:tcW w:w="2020" w:type="dxa"/>
            <w:vAlign w:val="center"/>
            <w:hideMark/>
          </w:tcPr>
          <w:p w14:paraId="5D06067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Chia động từ số ít ở thể chủ động gây sai ngữ pháp </w:t>
            </w:r>
            <w:r w:rsidRPr="00E710AA">
              <w:rPr>
                <w:rFonts w:ascii="Times New Roman" w:eastAsia="Times New Roman" w:hAnsi="Times New Roman" w:cs="Times New Roman"/>
                <w:color w:val="1F1F1F"/>
                <w:sz w:val="24"/>
                <w:szCs w:val="24"/>
              </w:rPr>
              <w:lastRenderedPageBreak/>
              <w:t>trong mệnh đề này.</w:t>
            </w:r>
          </w:p>
        </w:tc>
        <w:tc>
          <w:tcPr>
            <w:tcW w:w="2020" w:type="dxa"/>
            <w:vAlign w:val="center"/>
            <w:hideMark/>
          </w:tcPr>
          <w:p w14:paraId="4B31DAC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Động từ nguyên thể không thể đứng sau một </w:t>
            </w:r>
            <w:r w:rsidRPr="00E710AA">
              <w:rPr>
                <w:rFonts w:ascii="Times New Roman" w:eastAsia="Times New Roman" w:hAnsi="Times New Roman" w:cs="Times New Roman"/>
                <w:color w:val="1F1F1F"/>
                <w:sz w:val="24"/>
                <w:szCs w:val="24"/>
              </w:rPr>
              <w:lastRenderedPageBreak/>
              <w:t xml:space="preserve">danh từ để bổ nghĩa như vậy. </w:t>
            </w:r>
          </w:p>
        </w:tc>
      </w:tr>
      <w:tr w:rsidR="00E710AA" w:rsidRPr="00E710AA" w14:paraId="21F6CBA2" w14:textId="77777777" w:rsidTr="0082383A">
        <w:trPr>
          <w:trHeight w:val="20"/>
        </w:trPr>
        <w:tc>
          <w:tcPr>
            <w:tcW w:w="1040" w:type="dxa"/>
            <w:vAlign w:val="center"/>
            <w:hideMark/>
          </w:tcPr>
          <w:p w14:paraId="624C9CE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lastRenderedPageBreak/>
              <w:t>Câu 31</w:t>
            </w:r>
          </w:p>
        </w:tc>
        <w:tc>
          <w:tcPr>
            <w:tcW w:w="600" w:type="dxa"/>
            <w:vAlign w:val="center"/>
            <w:hideMark/>
          </w:tcPr>
          <w:p w14:paraId="302BB204"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17591F7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"Destined" là tính từ (được định sẵn), không thể đứng sau mạo từ "the" và tính từ "perfect".</w:t>
            </w:r>
          </w:p>
        </w:tc>
        <w:tc>
          <w:tcPr>
            <w:tcW w:w="2020" w:type="dxa"/>
            <w:vAlign w:val="center"/>
            <w:hideMark/>
          </w:tcPr>
          <w:p w14:paraId="5118F42B"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"Destine" là động từ, sai từ loại.</w:t>
            </w:r>
          </w:p>
        </w:tc>
        <w:tc>
          <w:tcPr>
            <w:tcW w:w="2020" w:type="dxa"/>
            <w:vAlign w:val="center"/>
            <w:hideMark/>
          </w:tcPr>
          <w:p w14:paraId="455BEA9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"Destiny" là danh từ chỉ số phận, không hợp nghĩa với việc đi du lịch.</w:t>
            </w:r>
          </w:p>
        </w:tc>
        <w:tc>
          <w:tcPr>
            <w:tcW w:w="2020" w:type="dxa"/>
            <w:vAlign w:val="center"/>
            <w:hideMark/>
          </w:tcPr>
          <w:p w14:paraId="72437BF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"Destination" (điểm đến) là danh từ hoàn toàn phù hợp về mặt ngữ nghĩa và từ loại. </w:t>
            </w:r>
          </w:p>
        </w:tc>
      </w:tr>
      <w:tr w:rsidR="00E710AA" w:rsidRPr="00E710AA" w14:paraId="2FF3668B" w14:textId="77777777" w:rsidTr="0082383A">
        <w:trPr>
          <w:trHeight w:val="20"/>
        </w:trPr>
        <w:tc>
          <w:tcPr>
            <w:tcW w:w="1040" w:type="dxa"/>
            <w:vAlign w:val="center"/>
            <w:hideMark/>
          </w:tcPr>
          <w:p w14:paraId="13EEBBBA"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32</w:t>
            </w:r>
          </w:p>
        </w:tc>
        <w:tc>
          <w:tcPr>
            <w:tcW w:w="600" w:type="dxa"/>
            <w:vAlign w:val="center"/>
            <w:hideMark/>
          </w:tcPr>
          <w:p w14:paraId="48A4990D"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D</w:t>
            </w:r>
          </w:p>
        </w:tc>
        <w:tc>
          <w:tcPr>
            <w:tcW w:w="2020" w:type="dxa"/>
            <w:vAlign w:val="center"/>
            <w:hideMark/>
          </w:tcPr>
          <w:p w14:paraId="6D90505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"Costliest" (đắt đỏ nhất) không phản ánh đúng lý do khu vườn được ngưỡng mộ vì vẻ đẹp.</w:t>
            </w:r>
          </w:p>
        </w:tc>
        <w:tc>
          <w:tcPr>
            <w:tcW w:w="2020" w:type="dxa"/>
            <w:vAlign w:val="center"/>
            <w:hideMark/>
          </w:tcPr>
          <w:p w14:paraId="546680B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"Richest" (giàu có nhất) thường dùng cho người hoặc tài nguyên, không dùng cho cảnh quan vườn.</w:t>
            </w:r>
          </w:p>
        </w:tc>
        <w:tc>
          <w:tcPr>
            <w:tcW w:w="2020" w:type="dxa"/>
            <w:vAlign w:val="center"/>
            <w:hideMark/>
          </w:tcPr>
          <w:p w14:paraId="7B65541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"Purest" (tinh khiết nhất) không phải là tính từ đặc trưng dùng để miêu tả top các khu vườn vĩ đại.</w:t>
            </w:r>
          </w:p>
        </w:tc>
        <w:tc>
          <w:tcPr>
            <w:tcW w:w="2020" w:type="dxa"/>
            <w:vAlign w:val="center"/>
            <w:hideMark/>
          </w:tcPr>
          <w:p w14:paraId="795794C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Cụm "the finest" (tốt nhất, tuyệt vời nhất) miêu tả xuất sắc chất lượng thẩm mỹ của khu vườn truyền thống. </w:t>
            </w:r>
          </w:p>
        </w:tc>
      </w:tr>
      <w:tr w:rsidR="00E710AA" w:rsidRPr="00E710AA" w14:paraId="5EC12831" w14:textId="77777777" w:rsidTr="0082383A">
        <w:trPr>
          <w:trHeight w:val="20"/>
        </w:trPr>
        <w:tc>
          <w:tcPr>
            <w:tcW w:w="1040" w:type="dxa"/>
            <w:vAlign w:val="center"/>
            <w:hideMark/>
          </w:tcPr>
          <w:p w14:paraId="27B1AAA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33</w:t>
            </w:r>
          </w:p>
        </w:tc>
        <w:tc>
          <w:tcPr>
            <w:tcW w:w="600" w:type="dxa"/>
            <w:vAlign w:val="center"/>
            <w:hideMark/>
          </w:tcPr>
          <w:p w14:paraId="65EC9F6F"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41AD4C3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Đại từ quan hệ "which" đóng vai trò làm chủ ngữ cho động từ "allows", thay thế cho cả khu vực phía trước.</w:t>
            </w:r>
          </w:p>
        </w:tc>
        <w:tc>
          <w:tcPr>
            <w:tcW w:w="2020" w:type="dxa"/>
            <w:vAlign w:val="center"/>
            <w:hideMark/>
          </w:tcPr>
          <w:p w14:paraId="3051296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Trạng từ quan hệ "where" bắt buộc phải cộng với một mệnh đề (S + V), không thể làm chủ ngữ.</w:t>
            </w:r>
          </w:p>
        </w:tc>
        <w:tc>
          <w:tcPr>
            <w:tcW w:w="2020" w:type="dxa"/>
            <w:vAlign w:val="center"/>
            <w:hideMark/>
          </w:tcPr>
          <w:p w14:paraId="34AF1FD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Đại từ quan hệ "that" không bao giờ được đứng sau dấu phẩy trong mệnh đề quan hệ không xác định.</w:t>
            </w:r>
          </w:p>
        </w:tc>
        <w:tc>
          <w:tcPr>
            <w:tcW w:w="2020" w:type="dxa"/>
            <w:vAlign w:val="center"/>
            <w:hideMark/>
          </w:tcPr>
          <w:p w14:paraId="3D64CAB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"What" không phải là đại từ quan hệ dùng để bổ nghĩa cho danh từ đứng trước nó. </w:t>
            </w:r>
          </w:p>
        </w:tc>
      </w:tr>
      <w:tr w:rsidR="00E710AA" w:rsidRPr="00E710AA" w14:paraId="4B0F37B3" w14:textId="77777777" w:rsidTr="0082383A">
        <w:trPr>
          <w:trHeight w:val="20"/>
        </w:trPr>
        <w:tc>
          <w:tcPr>
            <w:tcW w:w="1040" w:type="dxa"/>
            <w:vAlign w:val="center"/>
            <w:hideMark/>
          </w:tcPr>
          <w:p w14:paraId="332FC09C"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34</w:t>
            </w:r>
          </w:p>
        </w:tc>
        <w:tc>
          <w:tcPr>
            <w:tcW w:w="600" w:type="dxa"/>
            <w:vAlign w:val="center"/>
            <w:hideMark/>
          </w:tcPr>
          <w:p w14:paraId="49FCEE39"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074BDA7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"Given up" (từ bỏ) làm sai lệch hoàn toàn ý nghĩa tự hào của thành phố.</w:t>
            </w:r>
          </w:p>
        </w:tc>
        <w:tc>
          <w:tcPr>
            <w:tcW w:w="2020" w:type="dxa"/>
            <w:vAlign w:val="center"/>
            <w:hideMark/>
          </w:tcPr>
          <w:p w14:paraId="04091EA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"Put off" (trì hoãn) không có nghĩa hợp lý khi đi cùng với danh tiếng.</w:t>
            </w:r>
          </w:p>
        </w:tc>
        <w:tc>
          <w:tcPr>
            <w:tcW w:w="2020" w:type="dxa"/>
            <w:vAlign w:val="center"/>
            <w:hideMark/>
          </w:tcPr>
          <w:p w14:paraId="6CEA16E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"Kept up" (duy trì) ghép thành cụm "keep up its reputation" (duy trì danh tiếng) rất chính xác.</w:t>
            </w:r>
          </w:p>
        </w:tc>
        <w:tc>
          <w:tcPr>
            <w:tcW w:w="2020" w:type="dxa"/>
            <w:vAlign w:val="center"/>
            <w:hideMark/>
          </w:tcPr>
          <w:p w14:paraId="6B7D9021"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"Made up" (bịa đặt/trang điểm) không mang nghĩa tích cực trong ngữ cảnh bảo tồn nghề thủ công. </w:t>
            </w:r>
          </w:p>
        </w:tc>
      </w:tr>
      <w:tr w:rsidR="00E710AA" w:rsidRPr="00E710AA" w14:paraId="179FE97F" w14:textId="77777777" w:rsidTr="0082383A">
        <w:trPr>
          <w:trHeight w:val="20"/>
        </w:trPr>
        <w:tc>
          <w:tcPr>
            <w:tcW w:w="1040" w:type="dxa"/>
            <w:vAlign w:val="center"/>
            <w:hideMark/>
          </w:tcPr>
          <w:p w14:paraId="21D8B5A8"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35</w:t>
            </w:r>
          </w:p>
        </w:tc>
        <w:tc>
          <w:tcPr>
            <w:tcW w:w="600" w:type="dxa"/>
            <w:vAlign w:val="center"/>
            <w:hideMark/>
          </w:tcPr>
          <w:p w14:paraId="11BDA987"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B</w:t>
            </w:r>
          </w:p>
        </w:tc>
        <w:tc>
          <w:tcPr>
            <w:tcW w:w="2020" w:type="dxa"/>
            <w:vAlign w:val="center"/>
            <w:hideMark/>
          </w:tcPr>
          <w:p w14:paraId="341D5C1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"Furthermore" (hơn nữa) dùng để bổ sung ý thuận chiều, không hợp với ý trái ngược ở câu sau .</w:t>
            </w:r>
          </w:p>
        </w:tc>
        <w:tc>
          <w:tcPr>
            <w:tcW w:w="2020" w:type="dxa"/>
            <w:vAlign w:val="center"/>
            <w:hideMark/>
          </w:tcPr>
          <w:p w14:paraId="6561983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Trạng từ "However" (tuy nhiên) thể hiện sự tương phản hoàn hảo: Đang hành động, nhưng chỉ cấm xe là chưa đủ .</w:t>
            </w:r>
          </w:p>
        </w:tc>
        <w:tc>
          <w:tcPr>
            <w:tcW w:w="2020" w:type="dxa"/>
            <w:vAlign w:val="center"/>
            <w:hideMark/>
          </w:tcPr>
          <w:p w14:paraId="6C1A78D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"Therefore" (do đó) chỉ kết quả, không tạo được nét nghĩa nhượng bộ cần thiết .</w:t>
            </w:r>
          </w:p>
        </w:tc>
        <w:tc>
          <w:tcPr>
            <w:tcW w:w="2020" w:type="dxa"/>
            <w:vAlign w:val="center"/>
            <w:hideMark/>
          </w:tcPr>
          <w:p w14:paraId="4E9A7C5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"Consequently" (hậu quả là) cũng dùng để chỉ hệ quả, sai logic đoạn văn . </w:t>
            </w:r>
          </w:p>
        </w:tc>
      </w:tr>
      <w:tr w:rsidR="00E710AA" w:rsidRPr="00E710AA" w14:paraId="679A3BD3" w14:textId="77777777" w:rsidTr="0082383A">
        <w:trPr>
          <w:trHeight w:val="20"/>
        </w:trPr>
        <w:tc>
          <w:tcPr>
            <w:tcW w:w="1040" w:type="dxa"/>
            <w:vAlign w:val="center"/>
            <w:hideMark/>
          </w:tcPr>
          <w:p w14:paraId="6CCD7E35"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36</w:t>
            </w:r>
          </w:p>
        </w:tc>
        <w:tc>
          <w:tcPr>
            <w:tcW w:w="600" w:type="dxa"/>
            <w:vAlign w:val="center"/>
            <w:hideMark/>
          </w:tcPr>
          <w:p w14:paraId="226FA5A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3031B40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Cấu trúc trật tự từ ghép sai quy tắc tiếng Anh.</w:t>
            </w:r>
          </w:p>
        </w:tc>
        <w:tc>
          <w:tcPr>
            <w:tcW w:w="2020" w:type="dxa"/>
            <w:vAlign w:val="center"/>
            <w:hideMark/>
          </w:tcPr>
          <w:p w14:paraId="7DD466A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Sắp xếp danh từ lộn xộn, không tạo thành cụm từ có nghĩa.</w:t>
            </w:r>
          </w:p>
        </w:tc>
        <w:tc>
          <w:tcPr>
            <w:tcW w:w="2020" w:type="dxa"/>
            <w:vAlign w:val="center"/>
            <w:hideMark/>
          </w:tcPr>
          <w:p w14:paraId="5872128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Cụm danh từ "private vehicle ownership" (việc sở hữu phương tiện cá nhân) sắp xếp đúng trật tự từ bổ nghĩa.</w:t>
            </w:r>
          </w:p>
        </w:tc>
        <w:tc>
          <w:tcPr>
            <w:tcW w:w="2020" w:type="dxa"/>
            <w:vAlign w:val="center"/>
            <w:hideMark/>
          </w:tcPr>
          <w:p w14:paraId="2B3D3EA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Sai trật tự danh từ phụ bổ nghĩa cho danh từ chính. </w:t>
            </w:r>
          </w:p>
        </w:tc>
      </w:tr>
      <w:tr w:rsidR="00E710AA" w:rsidRPr="00E710AA" w14:paraId="63089FED" w14:textId="77777777" w:rsidTr="0082383A">
        <w:trPr>
          <w:trHeight w:val="20"/>
        </w:trPr>
        <w:tc>
          <w:tcPr>
            <w:tcW w:w="1040" w:type="dxa"/>
            <w:vAlign w:val="center"/>
            <w:hideMark/>
          </w:tcPr>
          <w:p w14:paraId="22F60AB6"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37</w:t>
            </w:r>
          </w:p>
        </w:tc>
        <w:tc>
          <w:tcPr>
            <w:tcW w:w="600" w:type="dxa"/>
            <w:vAlign w:val="center"/>
            <w:hideMark/>
          </w:tcPr>
          <w:p w14:paraId="5405A1A9"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7717BD6A"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"All" phải đi với danh từ số nhiều, trong khi "area" ở số ít.</w:t>
            </w:r>
          </w:p>
        </w:tc>
        <w:tc>
          <w:tcPr>
            <w:tcW w:w="2020" w:type="dxa"/>
            <w:vAlign w:val="center"/>
            <w:hideMark/>
          </w:tcPr>
          <w:p w14:paraId="64CA705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"Other" kết hợp với danh từ số nhiều hoặc không đếm được.</w:t>
            </w:r>
          </w:p>
        </w:tc>
        <w:tc>
          <w:tcPr>
            <w:tcW w:w="2020" w:type="dxa"/>
            <w:vAlign w:val="center"/>
            <w:hideMark/>
          </w:tcPr>
          <w:p w14:paraId="45456625"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Từ hạn định "each" (mỗi) bắt buộc đi với danh từ đếm được số ít, hoàn toàn khớp với "area".</w:t>
            </w:r>
          </w:p>
        </w:tc>
        <w:tc>
          <w:tcPr>
            <w:tcW w:w="2020" w:type="dxa"/>
            <w:vAlign w:val="center"/>
            <w:hideMark/>
          </w:tcPr>
          <w:p w14:paraId="126C626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"Many" dùng cho danh từ đếm được số nhiều. </w:t>
            </w:r>
          </w:p>
        </w:tc>
      </w:tr>
      <w:tr w:rsidR="00E710AA" w:rsidRPr="00E710AA" w14:paraId="67E60C31" w14:textId="77777777" w:rsidTr="0082383A">
        <w:trPr>
          <w:trHeight w:val="20"/>
        </w:trPr>
        <w:tc>
          <w:tcPr>
            <w:tcW w:w="1040" w:type="dxa"/>
            <w:vAlign w:val="center"/>
            <w:hideMark/>
          </w:tcPr>
          <w:p w14:paraId="5CEC2701"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38</w:t>
            </w:r>
          </w:p>
        </w:tc>
        <w:tc>
          <w:tcPr>
            <w:tcW w:w="600" w:type="dxa"/>
            <w:vAlign w:val="center"/>
            <w:hideMark/>
          </w:tcPr>
          <w:p w14:paraId="6AA13E62"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46E31A74"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Cấu trúc ngữ pháp "focus at" là không tồn tại.</w:t>
            </w:r>
          </w:p>
        </w:tc>
        <w:tc>
          <w:tcPr>
            <w:tcW w:w="2020" w:type="dxa"/>
            <w:vAlign w:val="center"/>
            <w:hideMark/>
          </w:tcPr>
          <w:p w14:paraId="117AC0B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Động từ "focus" không đi kèm với giới từ "to".</w:t>
            </w:r>
          </w:p>
        </w:tc>
        <w:tc>
          <w:tcPr>
            <w:tcW w:w="2020" w:type="dxa"/>
            <w:vAlign w:val="center"/>
            <w:hideMark/>
          </w:tcPr>
          <w:p w14:paraId="2D3FE787"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Cụm động từ cố định "focus on" (tập trung vào) là </w:t>
            </w:r>
            <w:r w:rsidRPr="00E710AA">
              <w:rPr>
                <w:rFonts w:ascii="Times New Roman" w:eastAsia="Times New Roman" w:hAnsi="Times New Roman" w:cs="Times New Roman"/>
                <w:color w:val="1F1F1F"/>
                <w:sz w:val="24"/>
                <w:szCs w:val="24"/>
              </w:rPr>
              <w:lastRenderedPageBreak/>
              <w:t>cấu trúc duy nhất chính xác.</w:t>
            </w:r>
          </w:p>
        </w:tc>
        <w:tc>
          <w:tcPr>
            <w:tcW w:w="2020" w:type="dxa"/>
            <w:vAlign w:val="center"/>
            <w:hideMark/>
          </w:tcPr>
          <w:p w14:paraId="07A1DE9E"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lastRenderedPageBreak/>
              <w:t xml:space="preserve">Giới từ "in" không được sử dụng </w:t>
            </w:r>
            <w:r w:rsidRPr="00E710AA">
              <w:rPr>
                <w:rFonts w:ascii="Times New Roman" w:eastAsia="Times New Roman" w:hAnsi="Times New Roman" w:cs="Times New Roman"/>
                <w:color w:val="1F1F1F"/>
                <w:sz w:val="24"/>
                <w:szCs w:val="24"/>
              </w:rPr>
              <w:lastRenderedPageBreak/>
              <w:t xml:space="preserve">ngay sau động từ "focus". </w:t>
            </w:r>
          </w:p>
        </w:tc>
      </w:tr>
      <w:tr w:rsidR="00E710AA" w:rsidRPr="00E710AA" w14:paraId="7D46D351" w14:textId="77777777" w:rsidTr="0082383A">
        <w:trPr>
          <w:trHeight w:val="20"/>
        </w:trPr>
        <w:tc>
          <w:tcPr>
            <w:tcW w:w="1040" w:type="dxa"/>
            <w:vAlign w:val="center"/>
            <w:hideMark/>
          </w:tcPr>
          <w:p w14:paraId="7F6EA7DC"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lastRenderedPageBreak/>
              <w:t>Câu 39</w:t>
            </w:r>
          </w:p>
        </w:tc>
        <w:tc>
          <w:tcPr>
            <w:tcW w:w="600" w:type="dxa"/>
            <w:vAlign w:val="center"/>
            <w:hideMark/>
          </w:tcPr>
          <w:p w14:paraId="532AB0FC"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w:t>
            </w:r>
          </w:p>
        </w:tc>
        <w:tc>
          <w:tcPr>
            <w:tcW w:w="2020" w:type="dxa"/>
            <w:vAlign w:val="center"/>
            <w:hideMark/>
          </w:tcPr>
          <w:p w14:paraId="27D49C60"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"Rapid" (nhanh chóng) có thể tạo ra rủi ro cho quá trình chuyển đổi, không hợp với ý "hành động cẩn thận" trước đó .</w:t>
            </w:r>
          </w:p>
        </w:tc>
        <w:tc>
          <w:tcPr>
            <w:tcW w:w="2020" w:type="dxa"/>
            <w:vAlign w:val="center"/>
            <w:hideMark/>
          </w:tcPr>
          <w:p w14:paraId="227FC6C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"Stable transition" không phổ biến và không mang tính diễn đạt tốt bằng collocation chuẩn.</w:t>
            </w:r>
          </w:p>
        </w:tc>
        <w:tc>
          <w:tcPr>
            <w:tcW w:w="2020" w:type="dxa"/>
            <w:vAlign w:val="center"/>
            <w:hideMark/>
          </w:tcPr>
          <w:p w14:paraId="1AF960BD"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Cụm từ "a smooth transition" (một sự chuyển đổi suôn sẻ) là một collocation chuẩn xác thường được dùng trong quy hoạch.</w:t>
            </w:r>
          </w:p>
        </w:tc>
        <w:tc>
          <w:tcPr>
            <w:tcW w:w="2020" w:type="dxa"/>
            <w:vAlign w:val="center"/>
            <w:hideMark/>
          </w:tcPr>
          <w:p w14:paraId="6C00FF16"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"Transparent" (minh bạch) thường dùng cho thông tin hoặc chính sách hơn là bản thân quá trình chuyển đổi vật lý. </w:t>
            </w:r>
          </w:p>
        </w:tc>
      </w:tr>
      <w:tr w:rsidR="00E710AA" w:rsidRPr="00E710AA" w14:paraId="5045F62C" w14:textId="77777777" w:rsidTr="0082383A">
        <w:trPr>
          <w:trHeight w:val="20"/>
        </w:trPr>
        <w:tc>
          <w:tcPr>
            <w:tcW w:w="1040" w:type="dxa"/>
            <w:vAlign w:val="center"/>
            <w:hideMark/>
          </w:tcPr>
          <w:p w14:paraId="2125D306"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Câu 40</w:t>
            </w:r>
          </w:p>
        </w:tc>
        <w:tc>
          <w:tcPr>
            <w:tcW w:w="600" w:type="dxa"/>
            <w:vAlign w:val="center"/>
            <w:hideMark/>
          </w:tcPr>
          <w:p w14:paraId="431D45C0" w14:textId="77777777" w:rsidR="00E710AA" w:rsidRPr="00E710AA" w:rsidRDefault="00E710AA" w:rsidP="00E710AA">
            <w:pPr>
              <w:spacing w:after="0" w:line="240" w:lineRule="auto"/>
              <w:rPr>
                <w:rFonts w:ascii="Times New Roman" w:eastAsia="Times New Roman" w:hAnsi="Times New Roman" w:cs="Times New Roman"/>
                <w:b/>
                <w:bCs/>
                <w:color w:val="1F1F1F"/>
                <w:sz w:val="24"/>
                <w:szCs w:val="24"/>
              </w:rPr>
            </w:pPr>
            <w:r w:rsidRPr="00E710AA">
              <w:rPr>
                <w:rFonts w:ascii="Times New Roman" w:eastAsia="Times New Roman" w:hAnsi="Times New Roman" w:cs="Times New Roman"/>
                <w:b/>
                <w:bCs/>
                <w:color w:val="1F1F1F"/>
                <w:sz w:val="24"/>
                <w:szCs w:val="24"/>
              </w:rPr>
              <w:t>A</w:t>
            </w:r>
          </w:p>
        </w:tc>
        <w:tc>
          <w:tcPr>
            <w:tcW w:w="2020" w:type="dxa"/>
            <w:vAlign w:val="center"/>
            <w:hideMark/>
          </w:tcPr>
          <w:p w14:paraId="5509B5E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Thành ngữ cố định "quality of life" (chất lượng cuộc sống) luôn đi liền với nhau trong các chủ đề môi trường.</w:t>
            </w:r>
          </w:p>
        </w:tc>
        <w:tc>
          <w:tcPr>
            <w:tcW w:w="2020" w:type="dxa"/>
            <w:vAlign w:val="center"/>
            <w:hideMark/>
          </w:tcPr>
          <w:p w14:paraId="70947958"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"Quantity" (số lượng) không đi kèm với life trong ngữ cảnh này.</w:t>
            </w:r>
          </w:p>
        </w:tc>
        <w:tc>
          <w:tcPr>
            <w:tcW w:w="2020" w:type="dxa"/>
            <w:vAlign w:val="center"/>
            <w:hideMark/>
          </w:tcPr>
          <w:p w14:paraId="0B000CAC"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"Value of life" (giá trị mạng sống) mang tính triết học, không phù hợp với văn bản về quy hoạch giao thông.</w:t>
            </w:r>
          </w:p>
        </w:tc>
        <w:tc>
          <w:tcPr>
            <w:tcW w:w="2020" w:type="dxa"/>
            <w:vAlign w:val="center"/>
            <w:hideMark/>
          </w:tcPr>
          <w:p w14:paraId="1BF2E4F3" w14:textId="77777777" w:rsidR="00E710AA" w:rsidRPr="00E710AA" w:rsidRDefault="00E710AA" w:rsidP="00E710AA">
            <w:pPr>
              <w:spacing w:after="0" w:line="240" w:lineRule="auto"/>
              <w:rPr>
                <w:rFonts w:ascii="Times New Roman" w:eastAsia="Times New Roman" w:hAnsi="Times New Roman" w:cs="Times New Roman"/>
                <w:color w:val="1F1F1F"/>
                <w:sz w:val="24"/>
                <w:szCs w:val="24"/>
              </w:rPr>
            </w:pPr>
            <w:r w:rsidRPr="00E710AA">
              <w:rPr>
                <w:rFonts w:ascii="Times New Roman" w:eastAsia="Times New Roman" w:hAnsi="Times New Roman" w:cs="Times New Roman"/>
                <w:color w:val="1F1F1F"/>
                <w:sz w:val="24"/>
                <w:szCs w:val="24"/>
              </w:rPr>
              <w:t xml:space="preserve">Dù có cụm "standard of living", nhưng tại đây từ đi kèm với giới từ "of life" bắt buộc phải là "quality". </w:t>
            </w:r>
          </w:p>
        </w:tc>
      </w:tr>
    </w:tbl>
    <w:p w14:paraId="60F50869" w14:textId="77777777" w:rsidR="00E710AA" w:rsidRDefault="00E710AA"/>
    <w:p w14:paraId="6112C84B" w14:textId="77777777" w:rsidR="00E710AA" w:rsidRDefault="00E710AA"/>
    <w:p w14:paraId="56114499" w14:textId="77777777" w:rsidR="00E710AA" w:rsidRDefault="00E710AA"/>
    <w:sectPr w:rsidR="00E710AA" w:rsidSect="00DA2986">
      <w:pgSz w:w="11909" w:h="16834"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AA"/>
    <w:rsid w:val="001036A5"/>
    <w:rsid w:val="0044762B"/>
    <w:rsid w:val="005F49EC"/>
    <w:rsid w:val="00704268"/>
    <w:rsid w:val="00821706"/>
    <w:rsid w:val="0082383A"/>
    <w:rsid w:val="00B850DA"/>
    <w:rsid w:val="00DA2986"/>
    <w:rsid w:val="00E71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7E99"/>
  <w15:chartTrackingRefBased/>
  <w15:docId w15:val="{1B8A3891-DACA-459B-953B-8B98BD50E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0AA"/>
    <w:pPr>
      <w:spacing w:after="200" w:line="276" w:lineRule="auto"/>
      <w:jc w:val="left"/>
    </w:pPr>
    <w:rPr>
      <w:rFonts w:asciiTheme="minorHAnsi" w:eastAsiaTheme="minorEastAsia" w:hAnsiTheme="minorHAnsi" w:cstheme="minorBidi"/>
      <w:kern w:val="0"/>
      <w:sz w:val="22"/>
      <w:szCs w:val="22"/>
      <w14:ligatures w14:val="none"/>
    </w:rPr>
  </w:style>
  <w:style w:type="paragraph" w:styleId="Heading1">
    <w:name w:val="heading 1"/>
    <w:basedOn w:val="Normal"/>
    <w:next w:val="Normal"/>
    <w:link w:val="Heading1Char"/>
    <w:uiPriority w:val="9"/>
    <w:qFormat/>
    <w:rsid w:val="00E710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10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10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10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10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10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10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10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10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0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10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10A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10A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10A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10A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10A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10A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10A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10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0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10A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10A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10A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710AA"/>
    <w:rPr>
      <w:i/>
      <w:iCs/>
      <w:color w:val="404040" w:themeColor="text1" w:themeTint="BF"/>
    </w:rPr>
  </w:style>
  <w:style w:type="paragraph" w:styleId="ListParagraph">
    <w:name w:val="List Paragraph"/>
    <w:basedOn w:val="Normal"/>
    <w:uiPriority w:val="34"/>
    <w:qFormat/>
    <w:rsid w:val="00E710AA"/>
    <w:pPr>
      <w:ind w:left="720"/>
      <w:contextualSpacing/>
    </w:pPr>
  </w:style>
  <w:style w:type="character" w:styleId="IntenseEmphasis">
    <w:name w:val="Intense Emphasis"/>
    <w:basedOn w:val="DefaultParagraphFont"/>
    <w:uiPriority w:val="21"/>
    <w:qFormat/>
    <w:rsid w:val="00E710AA"/>
    <w:rPr>
      <w:i/>
      <w:iCs/>
      <w:color w:val="0F4761" w:themeColor="accent1" w:themeShade="BF"/>
    </w:rPr>
  </w:style>
  <w:style w:type="paragraph" w:styleId="IntenseQuote">
    <w:name w:val="Intense Quote"/>
    <w:basedOn w:val="Normal"/>
    <w:next w:val="Normal"/>
    <w:link w:val="IntenseQuoteChar"/>
    <w:uiPriority w:val="30"/>
    <w:qFormat/>
    <w:rsid w:val="00E710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10AA"/>
    <w:rPr>
      <w:i/>
      <w:iCs/>
      <w:color w:val="0F4761" w:themeColor="accent1" w:themeShade="BF"/>
    </w:rPr>
  </w:style>
  <w:style w:type="character" w:styleId="IntenseReference">
    <w:name w:val="Intense Reference"/>
    <w:basedOn w:val="DefaultParagraphFont"/>
    <w:uiPriority w:val="32"/>
    <w:qFormat/>
    <w:rsid w:val="00E710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2403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SƠN</dc:creator>
  <cp:keywords/>
  <dc:description/>
  <cp:lastModifiedBy>HOÀNG SƠN</cp:lastModifiedBy>
  <cp:revision>1</cp:revision>
  <dcterms:created xsi:type="dcterms:W3CDTF">2026-03-16T15:38:00Z</dcterms:created>
  <dcterms:modified xsi:type="dcterms:W3CDTF">2026-03-16T15:53:00Z</dcterms:modified>
</cp:coreProperties>
</file>